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sz w:val="84"/>
          <w:szCs w:val="84"/>
          <w:u w:val="single"/>
        </w:rPr>
      </w:pPr>
    </w:p>
    <w:p>
      <w:pPr>
        <w:rPr>
          <w:rFonts w:ascii="Times New Roman" w:hAnsi="Times New Roman"/>
          <w:sz w:val="84"/>
          <w:szCs w:val="84"/>
          <w:u w:val="single"/>
        </w:rPr>
      </w:pPr>
    </w:p>
    <w:p>
      <w:pPr>
        <w:rPr>
          <w:rFonts w:ascii="Times New Roman" w:hAnsi="Times New Roman"/>
          <w:sz w:val="84"/>
          <w:szCs w:val="84"/>
          <w:u w:val="single"/>
        </w:rPr>
      </w:pPr>
    </w:p>
    <w:p>
      <w:pPr>
        <w:rPr>
          <w:rFonts w:ascii="Times New Roman" w:hAnsi="Times New Roman"/>
          <w:sz w:val="84"/>
          <w:szCs w:val="84"/>
          <w:u w:val="single"/>
        </w:rPr>
      </w:pPr>
    </w:p>
    <w:p>
      <w:pPr>
        <w:jc w:val="center"/>
        <w:rPr>
          <w:rFonts w:hint="eastAsia" w:ascii="Times New Roman" w:hAnsi="Times New Roman" w:eastAsia="黑体"/>
          <w:sz w:val="52"/>
          <w:szCs w:val="52"/>
          <w:lang w:eastAsia="zh-CN"/>
        </w:rPr>
      </w:pPr>
      <w:r>
        <w:rPr>
          <w:rFonts w:hint="eastAsia" w:ascii="Times New Roman" w:hAnsi="Times New Roman" w:eastAsia="黑体"/>
          <w:sz w:val="52"/>
          <w:szCs w:val="52"/>
        </w:rPr>
        <w:t>202</w:t>
      </w:r>
      <w:r>
        <w:rPr>
          <w:rFonts w:hint="eastAsia" w:ascii="Times New Roman" w:hAnsi="Times New Roman" w:eastAsia="黑体"/>
          <w:sz w:val="52"/>
          <w:szCs w:val="52"/>
          <w:lang w:val="en-US" w:eastAsia="zh-CN"/>
        </w:rPr>
        <w:t>4</w:t>
      </w:r>
      <w:r>
        <w:rPr>
          <w:rFonts w:hint="eastAsia" w:ascii="Times New Roman" w:hAnsi="Times New Roman" w:eastAsia="黑体"/>
          <w:sz w:val="52"/>
          <w:szCs w:val="52"/>
        </w:rPr>
        <w:t>年</w:t>
      </w:r>
      <w:r>
        <w:rPr>
          <w:rFonts w:hint="eastAsia" w:ascii="Times New Roman" w:hAnsi="Times New Roman" w:eastAsia="黑体"/>
          <w:sz w:val="52"/>
          <w:szCs w:val="52"/>
          <w:lang w:eastAsia="zh-CN"/>
        </w:rPr>
        <w:t>海南省营商环境建设厅</w:t>
      </w:r>
    </w:p>
    <w:p>
      <w:pPr>
        <w:jc w:val="center"/>
        <w:rPr>
          <w:rFonts w:ascii="Times New Roman" w:hAnsi="Times New Roman" w:eastAsia="黑体"/>
          <w:sz w:val="52"/>
          <w:szCs w:val="52"/>
        </w:rPr>
      </w:pPr>
      <w:r>
        <w:rPr>
          <w:rFonts w:hint="eastAsia" w:ascii="Times New Roman" w:hAnsi="Times New Roman" w:eastAsia="黑体"/>
          <w:sz w:val="52"/>
          <w:szCs w:val="52"/>
          <w:lang w:eastAsia="zh-CN"/>
        </w:rPr>
        <w:t>单位</w:t>
      </w:r>
      <w:r>
        <w:rPr>
          <w:rFonts w:hint="eastAsia" w:ascii="Times New Roman" w:hAnsi="Times New Roman" w:eastAsia="黑体"/>
          <w:sz w:val="52"/>
          <w:szCs w:val="52"/>
        </w:rPr>
        <w:t>预算</w:t>
      </w:r>
    </w:p>
    <w:p>
      <w:pPr>
        <w:ind w:firstLine="1680"/>
        <w:jc w:val="center"/>
        <w:rPr>
          <w:rFonts w:ascii="Times New Roman" w:hAnsi="Times New Roman"/>
          <w:sz w:val="84"/>
          <w:szCs w:val="84"/>
        </w:rPr>
      </w:pPr>
    </w:p>
    <w:p>
      <w:pPr>
        <w:ind w:firstLine="1680"/>
        <w:jc w:val="center"/>
        <w:rPr>
          <w:rFonts w:ascii="Times New Roman" w:hAnsi="Times New Roman"/>
          <w:sz w:val="84"/>
          <w:szCs w:val="84"/>
        </w:rPr>
      </w:pPr>
    </w:p>
    <w:p>
      <w:pPr>
        <w:ind w:firstLine="1680"/>
        <w:jc w:val="center"/>
        <w:rPr>
          <w:rFonts w:ascii="Times New Roman" w:hAnsi="Times New Roman"/>
          <w:sz w:val="84"/>
          <w:szCs w:val="84"/>
        </w:rPr>
      </w:pPr>
    </w:p>
    <w:p>
      <w:pPr>
        <w:ind w:firstLine="1680"/>
        <w:jc w:val="center"/>
        <w:rPr>
          <w:rFonts w:ascii="Times New Roman" w:hAnsi="Times New Roman"/>
          <w:sz w:val="84"/>
          <w:szCs w:val="84"/>
        </w:rPr>
      </w:pPr>
    </w:p>
    <w:p>
      <w:pPr>
        <w:ind w:firstLine="1680"/>
        <w:jc w:val="center"/>
        <w:rPr>
          <w:rFonts w:ascii="Times New Roman" w:hAnsi="Times New Roman"/>
          <w:sz w:val="84"/>
          <w:szCs w:val="84"/>
        </w:rPr>
      </w:pPr>
    </w:p>
    <w:p>
      <w:pPr>
        <w:rPr>
          <w:rFonts w:ascii="Times New Roman" w:hAnsi="Times New Roman"/>
          <w:sz w:val="84"/>
          <w:szCs w:val="84"/>
        </w:rPr>
      </w:pPr>
    </w:p>
    <w:p>
      <w:pPr>
        <w:jc w:val="center"/>
        <w:rPr>
          <w:rFonts w:ascii="Times New Roman" w:hAnsi="Times New Roman" w:eastAsia="黑体"/>
          <w:sz w:val="52"/>
          <w:szCs w:val="52"/>
        </w:rPr>
      </w:pPr>
      <w:r>
        <w:rPr>
          <w:rFonts w:hint="eastAsia" w:ascii="Times New Roman" w:hAnsi="Times New Roman" w:eastAsia="黑体"/>
          <w:sz w:val="52"/>
          <w:szCs w:val="52"/>
        </w:rPr>
        <w:t>目录</w:t>
      </w:r>
    </w:p>
    <w:p>
      <w:pPr>
        <w:pStyle w:val="7"/>
        <w:numPr>
          <w:ilvl w:val="0"/>
          <w:numId w:val="1"/>
        </w:numPr>
        <w:ind w:firstLineChars="0"/>
        <w:jc w:val="left"/>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仿宋_GB2312" w:cs="仿宋_GB2312"/>
          <w:sz w:val="32"/>
          <w:szCs w:val="32"/>
        </w:rPr>
        <w:t xml:space="preserve"> </w:t>
      </w:r>
      <w:r>
        <w:rPr>
          <w:rFonts w:hint="eastAsia" w:ascii="Times New Roman" w:hAnsi="Times New Roman" w:eastAsia="黑体"/>
          <w:sz w:val="32"/>
          <w:szCs w:val="32"/>
          <w:lang w:eastAsia="zh-CN"/>
        </w:rPr>
        <w:t>海南省营商环境建设厅</w:t>
      </w:r>
      <w:r>
        <w:rPr>
          <w:rFonts w:hint="eastAsia" w:ascii="Times New Roman" w:hAnsi="Times New Roman" w:eastAsia="黑体"/>
          <w:sz w:val="32"/>
          <w:szCs w:val="32"/>
        </w:rPr>
        <w:t>概况</w:t>
      </w:r>
    </w:p>
    <w:p>
      <w:pPr>
        <w:pStyle w:val="7"/>
        <w:numPr>
          <w:ilvl w:val="0"/>
          <w:numId w:val="1"/>
        </w:numPr>
        <w:ind w:firstLineChars="0"/>
        <w:rPr>
          <w:rFonts w:ascii="Times New Roman" w:hAnsi="Times New Roman" w:eastAsia="黑体"/>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lang w:eastAsia="zh-CN"/>
        </w:rPr>
        <w:t>海南省营商环境建设厅</w:t>
      </w: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4</w:t>
      </w:r>
      <w:r>
        <w:rPr>
          <w:rFonts w:hint="eastAsia" w:ascii="Times New Roman" w:hAnsi="Times New Roman" w:eastAsia="黑体"/>
          <w:sz w:val="32"/>
          <w:szCs w:val="32"/>
        </w:rPr>
        <w:t>年</w:t>
      </w:r>
      <w:r>
        <w:rPr>
          <w:rFonts w:hint="eastAsia" w:ascii="Times New Roman" w:hAnsi="Times New Roman" w:eastAsia="黑体"/>
          <w:sz w:val="32"/>
          <w:szCs w:val="32"/>
          <w:lang w:eastAsia="zh-CN"/>
        </w:rPr>
        <w:t>单位</w:t>
      </w:r>
      <w:r>
        <w:rPr>
          <w:rFonts w:hint="eastAsia" w:ascii="Times New Roman" w:hAnsi="Times New Roman" w:eastAsia="黑体"/>
          <w:sz w:val="32"/>
          <w:szCs w:val="32"/>
        </w:rPr>
        <w:t>预算表</w:t>
      </w:r>
    </w:p>
    <w:p>
      <w:pPr>
        <w:pStyle w:val="7"/>
        <w:numPr>
          <w:ilvl w:val="0"/>
          <w:numId w:val="2"/>
        </w:numPr>
        <w:ind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财政拨款收支总表</w:t>
      </w:r>
    </w:p>
    <w:p>
      <w:pPr>
        <w:pStyle w:val="7"/>
        <w:numPr>
          <w:ilvl w:val="0"/>
          <w:numId w:val="2"/>
        </w:numPr>
        <w:ind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一般公共预算支出表</w:t>
      </w:r>
    </w:p>
    <w:p>
      <w:pPr>
        <w:pStyle w:val="7"/>
        <w:numPr>
          <w:ilvl w:val="0"/>
          <w:numId w:val="2"/>
        </w:numPr>
        <w:ind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一般公共预算基本支出表</w:t>
      </w:r>
    </w:p>
    <w:p>
      <w:pPr>
        <w:pStyle w:val="7"/>
        <w:numPr>
          <w:ilvl w:val="0"/>
          <w:numId w:val="2"/>
        </w:numPr>
        <w:ind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一般公共预算“三公”经费支出表</w:t>
      </w:r>
    </w:p>
    <w:p>
      <w:pPr>
        <w:pStyle w:val="7"/>
        <w:numPr>
          <w:ilvl w:val="0"/>
          <w:numId w:val="2"/>
        </w:numPr>
        <w:ind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政府性基金预算支出表</w:t>
      </w:r>
    </w:p>
    <w:p>
      <w:pPr>
        <w:pStyle w:val="7"/>
        <w:numPr>
          <w:ilvl w:val="0"/>
          <w:numId w:val="2"/>
        </w:numPr>
        <w:ind w:firstLineChars="0"/>
        <w:rPr>
          <w:rFonts w:ascii="Times New Roman" w:hAnsi="Times New Roman" w:eastAsia="仿宋_GB2312" w:cs="仿宋_GB2312"/>
          <w:sz w:val="32"/>
          <w:szCs w:val="32"/>
        </w:rPr>
      </w:pPr>
      <w:r>
        <w:rPr>
          <w:rFonts w:hint="eastAsia" w:ascii="Times New Roman" w:hAnsi="Times New Roman" w:eastAsia="仿宋_GB2312" w:cs="仿宋_GB2312"/>
          <w:sz w:val="32"/>
          <w:szCs w:val="32"/>
        </w:rPr>
        <w:t>政府性基金预算“三公”经费支出表</w:t>
      </w:r>
    </w:p>
    <w:p>
      <w:pPr>
        <w:pStyle w:val="7"/>
        <w:numPr>
          <w:ilvl w:val="0"/>
          <w:numId w:val="2"/>
        </w:numPr>
        <w:ind w:firstLineChars="0"/>
        <w:jc w:val="left"/>
        <w:rPr>
          <w:rFonts w:ascii="Times New Roman" w:hAnsi="Times New Roman" w:eastAsia="黑体"/>
          <w:sz w:val="32"/>
          <w:szCs w:val="32"/>
        </w:rPr>
      </w:pPr>
      <w:r>
        <w:rPr>
          <w:rFonts w:hint="eastAsia" w:ascii="Times New Roman" w:hAnsi="Times New Roman" w:eastAsia="仿宋_GB2312" w:cs="仿宋_GB2312"/>
          <w:sz w:val="32"/>
          <w:szCs w:val="32"/>
        </w:rPr>
        <w:t>部门（单位）收支总表</w:t>
      </w:r>
    </w:p>
    <w:p>
      <w:pPr>
        <w:pStyle w:val="7"/>
        <w:numPr>
          <w:ilvl w:val="0"/>
          <w:numId w:val="2"/>
        </w:numPr>
        <w:ind w:firstLineChars="0"/>
        <w:jc w:val="left"/>
        <w:rPr>
          <w:rFonts w:ascii="Times New Roman" w:hAnsi="Times New Roman" w:eastAsia="黑体"/>
          <w:sz w:val="32"/>
          <w:szCs w:val="32"/>
        </w:rPr>
      </w:pPr>
      <w:r>
        <w:rPr>
          <w:rFonts w:hint="eastAsia" w:ascii="Times New Roman" w:hAnsi="Times New Roman" w:eastAsia="仿宋_GB2312" w:cs="仿宋_GB2312"/>
          <w:sz w:val="32"/>
          <w:szCs w:val="32"/>
        </w:rPr>
        <w:t>部门（单位）收入总表</w:t>
      </w:r>
    </w:p>
    <w:p>
      <w:pPr>
        <w:pStyle w:val="7"/>
        <w:numPr>
          <w:ilvl w:val="0"/>
          <w:numId w:val="2"/>
        </w:numPr>
        <w:ind w:firstLineChars="0"/>
        <w:jc w:val="left"/>
        <w:rPr>
          <w:rFonts w:ascii="Times New Roman" w:hAnsi="Times New Roman" w:eastAsia="黑体"/>
          <w:sz w:val="32"/>
          <w:szCs w:val="32"/>
        </w:rPr>
      </w:pPr>
      <w:r>
        <w:rPr>
          <w:rFonts w:hint="eastAsia" w:ascii="Times New Roman" w:hAnsi="Times New Roman" w:eastAsia="仿宋_GB2312" w:cs="仿宋_GB2312"/>
          <w:sz w:val="32"/>
          <w:szCs w:val="32"/>
        </w:rPr>
        <w:t>部门（单位）支出总表</w:t>
      </w:r>
    </w:p>
    <w:p>
      <w:pPr>
        <w:pStyle w:val="7"/>
        <w:numPr>
          <w:ilvl w:val="0"/>
          <w:numId w:val="2"/>
        </w:numPr>
        <w:ind w:firstLineChars="0"/>
        <w:jc w:val="left"/>
        <w:rPr>
          <w:rFonts w:ascii="Times New Roman" w:hAnsi="Times New Roman" w:eastAsia="黑体"/>
          <w:sz w:val="32"/>
          <w:szCs w:val="32"/>
        </w:rPr>
      </w:pPr>
      <w:r>
        <w:rPr>
          <w:rFonts w:hint="eastAsia" w:ascii="Times New Roman" w:hAnsi="Times New Roman" w:eastAsia="仿宋_GB2312" w:cs="仿宋_GB2312"/>
          <w:sz w:val="32"/>
          <w:szCs w:val="32"/>
        </w:rPr>
        <w:t>项目支出绩效信息表</w:t>
      </w:r>
    </w:p>
    <w:p>
      <w:pPr>
        <w:pStyle w:val="7"/>
        <w:numPr>
          <w:ilvl w:val="0"/>
          <w:numId w:val="1"/>
        </w:numPr>
        <w:ind w:firstLineChars="0"/>
        <w:jc w:val="left"/>
        <w:rPr>
          <w:rFonts w:ascii="Times New Roman" w:hAnsi="Times New Roman" w:eastAsia="仿宋_GB2312" w:cs="仿宋_GB2312"/>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lang w:eastAsia="zh-CN"/>
        </w:rPr>
        <w:t>海南省营商环境建设厅</w:t>
      </w: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4</w:t>
      </w:r>
      <w:r>
        <w:rPr>
          <w:rFonts w:hint="eastAsia" w:ascii="Times New Roman" w:hAnsi="Times New Roman" w:eastAsia="黑体"/>
          <w:sz w:val="32"/>
          <w:szCs w:val="32"/>
        </w:rPr>
        <w:t>年</w:t>
      </w:r>
      <w:r>
        <w:rPr>
          <w:rFonts w:hint="eastAsia" w:ascii="Times New Roman" w:hAnsi="Times New Roman" w:eastAsia="黑体"/>
          <w:sz w:val="32"/>
          <w:szCs w:val="32"/>
          <w:lang w:eastAsia="zh-CN"/>
        </w:rPr>
        <w:t>单位</w:t>
      </w:r>
      <w:r>
        <w:rPr>
          <w:rFonts w:hint="eastAsia" w:ascii="Times New Roman" w:hAnsi="Times New Roman" w:eastAsia="黑体"/>
          <w:sz w:val="32"/>
          <w:szCs w:val="32"/>
        </w:rPr>
        <w:t>预算情况说明</w:t>
      </w:r>
    </w:p>
    <w:p>
      <w:pPr>
        <w:pStyle w:val="7"/>
        <w:ind w:firstLine="0" w:firstLineChars="0"/>
        <w:jc w:val="left"/>
        <w:rPr>
          <w:rFonts w:ascii="Times New Roman" w:hAnsi="Times New Roman" w:eastAsia="黑体"/>
          <w:sz w:val="32"/>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pStyle w:val="7"/>
        <w:ind w:firstLine="0" w:firstLineChars="0"/>
        <w:jc w:val="left"/>
        <w:rPr>
          <w:rFonts w:ascii="Times New Roman" w:hAnsi="Times New Roman" w:eastAsia="黑体"/>
          <w:sz w:val="32"/>
          <w:szCs w:val="32"/>
        </w:rPr>
      </w:pPr>
    </w:p>
    <w:p>
      <w:pPr>
        <w:pStyle w:val="7"/>
        <w:ind w:firstLine="0" w:firstLineChars="0"/>
        <w:jc w:val="left"/>
        <w:rPr>
          <w:rFonts w:ascii="Times New Roman" w:hAnsi="Times New Roman" w:eastAsia="仿宋_GB2312" w:cs="仿宋_GB2312"/>
          <w:sz w:val="32"/>
          <w:szCs w:val="32"/>
        </w:rPr>
      </w:pPr>
    </w:p>
    <w:p>
      <w:pPr>
        <w:pStyle w:val="7"/>
        <w:ind w:firstLine="0" w:firstLineChars="0"/>
        <w:jc w:val="left"/>
        <w:rPr>
          <w:rFonts w:ascii="Times New Roman" w:hAnsi="Times New Roman" w:eastAsia="仿宋_GB2312" w:cs="仿宋_GB2312"/>
          <w:sz w:val="32"/>
          <w:szCs w:val="32"/>
        </w:rPr>
      </w:pPr>
    </w:p>
    <w:p>
      <w:pPr>
        <w:pStyle w:val="7"/>
        <w:ind w:firstLine="0" w:firstLineChars="0"/>
        <w:jc w:val="left"/>
        <w:rPr>
          <w:rFonts w:ascii="Times New Roman" w:hAnsi="Times New Roman" w:eastAsia="仿宋_GB2312" w:cs="仿宋_GB2312"/>
          <w:sz w:val="32"/>
          <w:szCs w:val="32"/>
        </w:rPr>
      </w:pPr>
    </w:p>
    <w:p>
      <w:pPr>
        <w:pStyle w:val="7"/>
        <w:ind w:firstLine="0" w:firstLineChars="0"/>
        <w:rPr>
          <w:rFonts w:ascii="Times New Roman" w:hAnsi="Times New Roman" w:eastAsia="仿宋_GB2312" w:cs="仿宋_GB2312"/>
          <w:sz w:val="32"/>
          <w:szCs w:val="32"/>
        </w:rPr>
      </w:pPr>
    </w:p>
    <w:p>
      <w:pPr>
        <w:pStyle w:val="7"/>
        <w:numPr>
          <w:ilvl w:val="0"/>
          <w:numId w:val="3"/>
        </w:numPr>
        <w:ind w:firstLineChars="0"/>
        <w:jc w:val="center"/>
        <w:rPr>
          <w:rFonts w:ascii="Times New Roman" w:hAnsi="Times New Roman" w:eastAsia="仿宋_GB2312" w:cs="仿宋_GB2312"/>
          <w:sz w:val="32"/>
          <w:szCs w:val="32"/>
        </w:rPr>
      </w:pPr>
      <w:r>
        <w:rPr>
          <w:rFonts w:ascii="Times New Roman" w:hAnsi="Times New Roman" w:eastAsia="黑体"/>
          <w:sz w:val="32"/>
          <w:szCs w:val="32"/>
        </w:rPr>
        <w:t xml:space="preserve">  </w:t>
      </w:r>
      <w:r>
        <w:rPr>
          <w:rFonts w:hint="eastAsia" w:ascii="Times New Roman" w:hAnsi="Times New Roman" w:eastAsia="黑体"/>
          <w:sz w:val="32"/>
          <w:szCs w:val="32"/>
          <w:lang w:eastAsia="zh-CN"/>
        </w:rPr>
        <w:t>海南省营商环境建设厅</w:t>
      </w:r>
      <w:r>
        <w:rPr>
          <w:rFonts w:hint="eastAsia" w:ascii="Times New Roman" w:hAnsi="Times New Roman" w:eastAsia="黑体"/>
          <w:sz w:val="32"/>
          <w:szCs w:val="32"/>
        </w:rPr>
        <w:t>概况</w:t>
      </w:r>
    </w:p>
    <w:p>
      <w:pPr>
        <w:pStyle w:val="7"/>
        <w:ind w:firstLine="0" w:firstLineChars="0"/>
        <w:jc w:val="left"/>
        <w:rPr>
          <w:rFonts w:ascii="Times New Roman" w:hAnsi="Times New Roman" w:eastAsia="仿宋_GB2312" w:cs="仿宋_GB2312"/>
          <w:sz w:val="32"/>
          <w:szCs w:val="32"/>
        </w:rPr>
      </w:pPr>
    </w:p>
    <w:p>
      <w:pPr>
        <w:pStyle w:val="7"/>
        <w:ind w:firstLine="640"/>
        <w:jc w:val="left"/>
        <w:rPr>
          <w:rFonts w:ascii="Times New Roman" w:hAnsi="Times New Roman" w:eastAsia="黑体" w:cs="仿宋_GB2312"/>
          <w:sz w:val="32"/>
          <w:szCs w:val="32"/>
        </w:rPr>
      </w:pPr>
      <w:r>
        <w:rPr>
          <w:rFonts w:hint="eastAsia" w:ascii="Times New Roman" w:hAnsi="Times New Roman"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省营商环境建设厅负责推动全省营商环境、政务服务、数据共享、社会信用系统建设，在履行职责过程中坚持和加强党对营商环境建设工作的集中统一领导。主要职责是: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一)贯彻执行党中央、国务院关于优化营商环境工作的方针政策和相关法律法规及省委、省政府决策部署，组织起草综合性和职责范围内营商环境地方性法规和省政府规章草案及规范性文件，组织贯彻落实《海南自由贸易港优化营商环境条例》，协调推进法治化营商环境建设，建立法治化营商环境制度和标准体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二)制定全省营商环境建设规划计划和政策制度，构建与国际通行规则相衔接的营商环境制度体系，推动营商环境领域重点任务和改革措施落实落地，开展营商环境领域制度集成创新，组织实施营商环境示范市县、园区创建和示范案例推广工作，统筹推进全省各市县建立营商环境共建共创共享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三)协调推进全省政府职能转变和“放管服”改革、行政审批制度改革，编制实施政务服务事项清单并进行动态管理，规范、指导、监督行政审批流程再造;统筹推进全省政务服务标准化、规范化、便利化体系建设，承担一体化政务服务平台运行管理。在改革过渡期负责省政务服务大厅运行管理，对进驻的政务服务事项进行组织协调和监督管理。负责全省政务服务工作的指导、监督、考核评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四)协调推动省级行业主管部门制定完善统一监管规则和标准。督促落实“双随机、一公开”监管、联合监管、信用监管和包容审慎监管，建立审批监管执法联动工作机制;推行智慧监管，统筹建设管理“互联网+监管”系统，归集、分析、管理全省各级监管部门监管结果数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五)拟定并组织实施全省政务信息化、数字政府发展规划和年度计划，承担政务信息化建设项目的管理监督，指导监督全省政务系统电子政务网络建设管理工作，负责全省政务云平台、电子政务外网建设管理及非密级网络资源整合，推动全省大数据资源共享开发利用。作为业务主管部门，加强对省大数据管理局的领导和监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六)负责全省社会信用管理的综合协调、规划编制、政策制定及监督管理等工作，牵头开展全省社会信用体系建设，统筹建设、运营、管理省级信用信息共享平台，推动全省信用业务协同应用;推进全省信用联合奖惩和信用监管;组织开展诚信海南建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(七)建立健全营商环境评价指标体系，组织开展全省营商环境评价和营商环境工作考核，承担营商环境重要量化指标制定分解、分析监测和督办落实;指导全国营商环境评价参评城市做好指标体系建设和提升工作。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八)建设全生命周期企业服务体系，建立企业首席服务专员、营商环境体验员等制度，建立健全常态化政企沟通机制，推进惠企政策落实;协调涉企跨部门跨领域跨系统审批事项和重大事项;开展企业服务质量评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九)建立健全营商环境问题处理跟踪督办机制，协调推动解决营商环境建设中的具体问题;汇总分析涉及营商环境方面的基础性、共性事项，推动建立解决问题的长效机制;指导监督省政府综合服务热线12345运行管理，推动各类服务热线优化整合，建立完善接诉即办工作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(十)承担省委优化营商环境领导小组办公室日常工作。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仿宋_GB2312" w:cs="仿宋_GB2312"/>
          <w:sz w:val="32"/>
          <w:szCs w:val="32"/>
        </w:rPr>
      </w:pPr>
      <w:r>
        <w:rPr>
          <w:rFonts w:hint="eastAsia" w:ascii="仿宋_GB2312" w:hAnsi="黑体" w:eastAsia="仿宋_GB2312" w:cs="仿宋_GB2312"/>
          <w:kern w:val="2"/>
          <w:sz w:val="32"/>
          <w:szCs w:val="32"/>
          <w:u w:val="none"/>
          <w:lang w:val="en-US" w:eastAsia="zh-CN" w:bidi="ar-SA"/>
        </w:rPr>
        <w:t>(十一)完成省委、省政府交办的其他任务。</w:t>
      </w:r>
      <w:r>
        <w:rPr>
          <w:rFonts w:hint="eastAsia" w:ascii="仿宋_GB2312" w:hAnsi="黑体" w:eastAsia="仿宋_GB2312" w:cs="仿宋_GB2312"/>
          <w:kern w:val="2"/>
          <w:sz w:val="32"/>
          <w:szCs w:val="32"/>
          <w:u w:val="none"/>
          <w:lang w:val="en-US" w:eastAsia="zh-CN" w:bidi="ar-SA"/>
        </w:rPr>
        <w:tab/>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w:t>
      </w:r>
      <w:r>
        <w:rPr>
          <w:rFonts w:ascii="Times New Roman" w:hAnsi="Times New Roman" w:eastAsia="仿宋_GB2312" w:cs="仿宋_GB2312"/>
          <w:sz w:val="32"/>
          <w:szCs w:val="32"/>
        </w:rPr>
        <w:t xml:space="preserve"> </w:t>
      </w:r>
      <w:r>
        <w:rPr>
          <w:rFonts w:hint="eastAsia" w:ascii="Times New Roman" w:hAnsi="Times New Roman" w:eastAsia="黑体"/>
          <w:sz w:val="32"/>
          <w:szCs w:val="32"/>
          <w:lang w:eastAsia="zh-CN"/>
        </w:rPr>
        <w:t>海南省营商环境建设厅2024</w:t>
      </w:r>
      <w:r>
        <w:rPr>
          <w:rFonts w:hint="eastAsia" w:ascii="Times New Roman" w:hAnsi="Times New Roman" w:eastAsia="黑体"/>
          <w:sz w:val="32"/>
          <w:szCs w:val="32"/>
        </w:rPr>
        <w:t>年</w:t>
      </w:r>
      <w:r>
        <w:rPr>
          <w:rFonts w:hint="eastAsia" w:ascii="Times New Roman" w:hAnsi="Times New Roman" w:eastAsia="黑体"/>
          <w:sz w:val="32"/>
          <w:szCs w:val="32"/>
          <w:lang w:eastAsia="zh-CN"/>
        </w:rPr>
        <w:t>单位</w:t>
      </w:r>
      <w:r>
        <w:rPr>
          <w:rFonts w:hint="eastAsia" w:ascii="Times New Roman" w:hAnsi="Times New Roman" w:eastAsia="黑体"/>
          <w:sz w:val="32"/>
          <w:szCs w:val="32"/>
        </w:rPr>
        <w:t>预算表</w:t>
      </w:r>
    </w:p>
    <w:p>
      <w:pPr>
        <w:ind w:left="800"/>
        <w:jc w:val="left"/>
        <w:rPr>
          <w:rFonts w:ascii="Times New Roman" w:hAnsi="Times New Roman" w:eastAsia="黑体"/>
          <w:sz w:val="32"/>
          <w:szCs w:val="32"/>
        </w:rPr>
      </w:pPr>
    </w:p>
    <w:p>
      <w:pPr>
        <w:ind w:left="800"/>
        <w:jc w:val="center"/>
        <w:rPr>
          <w:rFonts w:ascii="Times New Roman" w:hAnsi="Times New Roman" w:eastAsia="仿宋_GB2312"/>
          <w:b/>
          <w:sz w:val="32"/>
          <w:szCs w:val="32"/>
        </w:rPr>
      </w:pPr>
      <w:r>
        <w:rPr>
          <w:rFonts w:hint="eastAsia" w:ascii="Times New Roman" w:hAnsi="Times New Roman" w:eastAsia="仿宋_GB2312"/>
          <w:b/>
          <w:sz w:val="32"/>
          <w:szCs w:val="32"/>
        </w:rPr>
        <w:t>（此部分内容即为单位预算公开表）</w:t>
      </w:r>
    </w:p>
    <w:p>
      <w:pPr>
        <w:rPr>
          <w:rFonts w:ascii="Times New Roman" w:hAnsi="Times New Roman" w:eastAsia="黑体"/>
          <w:sz w:val="32"/>
          <w:szCs w:val="32"/>
        </w:rPr>
      </w:pPr>
    </w:p>
    <w:p>
      <w:pPr>
        <w:ind w:firstLine="480" w:firstLineChars="15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lang w:eastAsia="zh-CN"/>
        </w:rPr>
        <w:t>海南省营商环境建设厅2024</w:t>
      </w:r>
      <w:r>
        <w:rPr>
          <w:rFonts w:hint="eastAsia" w:ascii="Times New Roman" w:hAnsi="Times New Roman" w:eastAsia="黑体"/>
          <w:sz w:val="32"/>
          <w:szCs w:val="32"/>
        </w:rPr>
        <w:t>年</w:t>
      </w:r>
      <w:r>
        <w:rPr>
          <w:rFonts w:hint="eastAsia" w:ascii="Times New Roman" w:hAnsi="Times New Roman" w:eastAsia="黑体"/>
          <w:sz w:val="32"/>
          <w:szCs w:val="32"/>
          <w:lang w:eastAsia="zh-CN"/>
        </w:rPr>
        <w:t>单位</w:t>
      </w:r>
      <w:r>
        <w:rPr>
          <w:rFonts w:hint="eastAsia" w:ascii="Times New Roman" w:hAnsi="Times New Roman" w:eastAsia="黑体"/>
          <w:sz w:val="32"/>
          <w:szCs w:val="32"/>
        </w:rPr>
        <w:t>预算情况说明</w:t>
      </w:r>
    </w:p>
    <w:p>
      <w:pPr>
        <w:jc w:val="center"/>
        <w:rPr>
          <w:rFonts w:ascii="Times New Roman" w:hAnsi="Times New Roman" w:eastAsia="黑体"/>
          <w:sz w:val="32"/>
          <w:szCs w:val="32"/>
        </w:rPr>
      </w:pPr>
    </w:p>
    <w:p>
      <w:pPr>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一、关于</w:t>
      </w:r>
      <w:r>
        <w:rPr>
          <w:rFonts w:hint="eastAsia" w:ascii="Times New Roman" w:hAnsi="Times New Roman" w:eastAsia="黑体"/>
          <w:sz w:val="32"/>
          <w:szCs w:val="32"/>
          <w:lang w:eastAsia="zh-CN"/>
        </w:rPr>
        <w:t>海南省营商环境建设厅2024</w:t>
      </w:r>
      <w:r>
        <w:rPr>
          <w:rFonts w:hint="eastAsia" w:ascii="Times New Roman" w:hAnsi="Times New Roman" w:eastAsia="黑体"/>
          <w:sz w:val="32"/>
          <w:szCs w:val="32"/>
        </w:rPr>
        <w:t>年财政拨款收支预算情况的总体说明</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cs="仿宋_GB2312"/>
          <w:sz w:val="32"/>
          <w:szCs w:val="32"/>
          <w:lang w:eastAsia="zh-CN"/>
        </w:rPr>
        <w:t>海南省营商环境建设厅2024</w:t>
      </w:r>
      <w:r>
        <w:rPr>
          <w:rFonts w:hint="eastAsia" w:ascii="Times New Roman" w:hAnsi="Times New Roman" w:eastAsia="仿宋_GB2312"/>
          <w:sz w:val="32"/>
          <w:szCs w:val="32"/>
        </w:rPr>
        <w:t>年财政拨款收支总预算</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sz w:val="32"/>
          <w:szCs w:val="32"/>
        </w:rPr>
        <w:t>万元，比上年预算数</w:t>
      </w:r>
      <w:r>
        <w:rPr>
          <w:rFonts w:hint="eastAsia" w:ascii="Times New Roman" w:hAnsi="Times New Roman" w:eastAsia="仿宋_GB2312" w:cs="仿宋_GB2312"/>
          <w:sz w:val="32"/>
          <w:szCs w:val="32"/>
          <w:lang w:eastAsia="zh-CN"/>
        </w:rPr>
        <w:t>增加</w:t>
      </w:r>
      <w:r>
        <w:rPr>
          <w:rFonts w:hint="eastAsia" w:ascii="Times New Roman" w:hAnsi="Times New Roman" w:eastAsia="仿宋_GB2312" w:cs="仿宋_GB2312"/>
          <w:sz w:val="32"/>
          <w:szCs w:val="32"/>
          <w:lang w:val="en-US" w:eastAsia="zh-CN"/>
        </w:rPr>
        <w:t>862.13</w:t>
      </w:r>
      <w:r>
        <w:rPr>
          <w:rFonts w:hint="eastAsia" w:ascii="Times New Roman" w:hAnsi="Times New Roman" w:eastAsia="仿宋_GB2312"/>
          <w:sz w:val="32"/>
          <w:szCs w:val="32"/>
        </w:rPr>
        <w:t>万元。其中，收入总计</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sz w:val="32"/>
          <w:szCs w:val="32"/>
        </w:rPr>
        <w:t>万元，包括一般公共预算本年收入</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sz w:val="32"/>
          <w:szCs w:val="32"/>
        </w:rPr>
        <w:t>万元、上年结转</w:t>
      </w:r>
      <w:r>
        <w:rPr>
          <w:rFonts w:ascii="Times New Roman" w:hAnsi="Times New Roman" w:eastAsia="仿宋_GB2312" w:cs="仿宋_GB2312"/>
          <w:sz w:val="32"/>
          <w:szCs w:val="32"/>
        </w:rPr>
        <w:t>0</w:t>
      </w:r>
      <w:r>
        <w:rPr>
          <w:rFonts w:hint="eastAsia" w:ascii="Times New Roman" w:hAnsi="Times New Roman" w:eastAsia="仿宋_GB2312"/>
          <w:sz w:val="32"/>
          <w:szCs w:val="32"/>
        </w:rPr>
        <w:t>万元；支出总计</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sz w:val="32"/>
          <w:szCs w:val="32"/>
        </w:rPr>
        <w:t>万元，包括一般公共服务支出</w:t>
      </w:r>
      <w:r>
        <w:rPr>
          <w:rFonts w:hint="eastAsia" w:ascii="Times New Roman" w:hAnsi="Times New Roman" w:eastAsia="仿宋_GB2312" w:cs="仿宋_GB2312"/>
          <w:sz w:val="32"/>
          <w:szCs w:val="32"/>
          <w:lang w:val="en-US" w:eastAsia="zh-CN"/>
        </w:rPr>
        <w:t>4918.54</w:t>
      </w:r>
      <w:r>
        <w:rPr>
          <w:rFonts w:hint="eastAsia" w:ascii="Times New Roman" w:hAnsi="Times New Roman" w:eastAsia="仿宋_GB2312"/>
          <w:sz w:val="32"/>
          <w:szCs w:val="32"/>
        </w:rPr>
        <w:t>万元、社会保障和就业支出</w:t>
      </w:r>
      <w:r>
        <w:rPr>
          <w:rFonts w:hint="eastAsia" w:ascii="Times New Roman" w:hAnsi="Times New Roman" w:eastAsia="仿宋_GB2312"/>
          <w:sz w:val="32"/>
          <w:szCs w:val="32"/>
          <w:lang w:val="en-US" w:eastAsia="zh-CN"/>
        </w:rPr>
        <w:t>67.61</w:t>
      </w:r>
      <w:r>
        <w:rPr>
          <w:rFonts w:hint="eastAsia" w:ascii="Times New Roman" w:hAnsi="Times New Roman" w:eastAsia="仿宋_GB2312"/>
          <w:sz w:val="32"/>
          <w:szCs w:val="32"/>
        </w:rPr>
        <w:t>万元，卫生健康支出</w:t>
      </w:r>
      <w:r>
        <w:rPr>
          <w:rFonts w:hint="eastAsia" w:ascii="Times New Roman" w:hAnsi="Times New Roman" w:eastAsia="仿宋_GB2312"/>
          <w:sz w:val="32"/>
          <w:szCs w:val="32"/>
          <w:lang w:val="en-US" w:eastAsia="zh-CN"/>
        </w:rPr>
        <w:t>14.59</w:t>
      </w:r>
      <w:r>
        <w:rPr>
          <w:rFonts w:hint="eastAsia" w:ascii="Times New Roman" w:hAnsi="Times New Roman" w:eastAsia="仿宋_GB2312"/>
          <w:sz w:val="32"/>
          <w:szCs w:val="32"/>
        </w:rPr>
        <w:t>万元，住房保障支出</w:t>
      </w:r>
      <w:r>
        <w:rPr>
          <w:rFonts w:hint="eastAsia" w:ascii="Times New Roman" w:hAnsi="Times New Roman" w:eastAsia="仿宋_GB2312"/>
          <w:sz w:val="32"/>
          <w:szCs w:val="32"/>
          <w:lang w:val="en-US" w:eastAsia="zh-CN"/>
        </w:rPr>
        <w:t>34.55</w:t>
      </w:r>
      <w:r>
        <w:rPr>
          <w:rFonts w:hint="eastAsia" w:ascii="Times New Roman" w:hAnsi="Times New Roman" w:eastAsia="仿宋_GB2312"/>
          <w:sz w:val="32"/>
          <w:szCs w:val="32"/>
        </w:rPr>
        <w:t>万元。</w:t>
      </w:r>
    </w:p>
    <w:p>
      <w:pPr>
        <w:ind w:firstLine="640"/>
        <w:jc w:val="left"/>
        <w:rPr>
          <w:rFonts w:ascii="Times New Roman" w:hAnsi="Times New Roman" w:eastAsia="黑体"/>
          <w:sz w:val="32"/>
          <w:szCs w:val="32"/>
        </w:rPr>
      </w:pPr>
      <w:r>
        <w:rPr>
          <w:rFonts w:hint="eastAsia" w:ascii="Times New Roman" w:hAnsi="Times New Roman" w:eastAsia="黑体"/>
          <w:sz w:val="32"/>
          <w:szCs w:val="32"/>
        </w:rPr>
        <w:t>二、关于</w:t>
      </w:r>
      <w:r>
        <w:rPr>
          <w:rFonts w:hint="eastAsia" w:ascii="Times New Roman" w:hAnsi="Times New Roman" w:eastAsia="黑体"/>
          <w:sz w:val="32"/>
          <w:szCs w:val="32"/>
          <w:lang w:eastAsia="zh-CN"/>
        </w:rPr>
        <w:t>海南省营商环境建设厅2024</w:t>
      </w:r>
      <w:r>
        <w:rPr>
          <w:rFonts w:hint="eastAsia" w:ascii="Times New Roman" w:hAnsi="Times New Roman" w:eastAsia="黑体"/>
          <w:sz w:val="32"/>
          <w:szCs w:val="32"/>
        </w:rPr>
        <w:t>年一般公共预算当年拨款情况说明</w:t>
      </w:r>
    </w:p>
    <w:p>
      <w:pPr>
        <w:ind w:firstLine="640"/>
        <w:jc w:val="left"/>
        <w:rPr>
          <w:rFonts w:ascii="Times New Roman" w:hAnsi="Times New Roman" w:eastAsia="楷体"/>
          <w:sz w:val="32"/>
          <w:szCs w:val="32"/>
        </w:rPr>
      </w:pPr>
      <w:r>
        <w:rPr>
          <w:rFonts w:hint="eastAsia" w:ascii="Times New Roman" w:hAnsi="Times New Roman" w:eastAsia="楷体"/>
          <w:sz w:val="32"/>
          <w:szCs w:val="32"/>
        </w:rPr>
        <w:t>（一）一般公共预算当年规模变化情况</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海南省营商环境建设厅2024年一般公共预算当年拨款</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cs="仿宋_GB2312"/>
          <w:sz w:val="32"/>
          <w:szCs w:val="32"/>
          <w:lang w:eastAsia="zh-CN"/>
        </w:rPr>
        <w:t>万元，比上年预算数增加</w:t>
      </w:r>
      <w:r>
        <w:rPr>
          <w:rFonts w:hint="eastAsia" w:ascii="Times New Roman" w:hAnsi="Times New Roman" w:eastAsia="仿宋_GB2312" w:cs="仿宋_GB2312"/>
          <w:sz w:val="32"/>
          <w:szCs w:val="32"/>
          <w:lang w:val="en-US" w:eastAsia="zh-CN"/>
        </w:rPr>
        <w:t>862.13</w:t>
      </w:r>
      <w:r>
        <w:rPr>
          <w:rFonts w:hint="eastAsia" w:ascii="Times New Roman" w:hAnsi="Times New Roman" w:eastAsia="仿宋_GB2312" w:cs="仿宋_GB2312"/>
          <w:sz w:val="32"/>
          <w:szCs w:val="32"/>
          <w:lang w:eastAsia="zh-CN"/>
        </w:rPr>
        <w:t>万元。</w:t>
      </w:r>
    </w:p>
    <w:p>
      <w:pPr>
        <w:ind w:firstLine="640"/>
        <w:jc w:val="left"/>
        <w:rPr>
          <w:rFonts w:ascii="Times New Roman" w:hAnsi="Times New Roman" w:eastAsia="楷体"/>
          <w:sz w:val="32"/>
          <w:szCs w:val="32"/>
        </w:rPr>
      </w:pPr>
      <w:r>
        <w:rPr>
          <w:rFonts w:hint="eastAsia" w:ascii="Times New Roman" w:hAnsi="Times New Roman" w:eastAsia="楷体"/>
          <w:sz w:val="32"/>
          <w:szCs w:val="32"/>
        </w:rPr>
        <w:t>（二）一般公共预算当年拨款结构情况</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一般公共服务（类）支出</w:t>
      </w:r>
      <w:r>
        <w:rPr>
          <w:rFonts w:hint="eastAsia" w:ascii="Times New Roman" w:hAnsi="Times New Roman" w:eastAsia="仿宋_GB2312" w:cs="仿宋_GB2312"/>
          <w:sz w:val="32"/>
          <w:szCs w:val="32"/>
          <w:lang w:val="en-US" w:eastAsia="zh-CN"/>
        </w:rPr>
        <w:t>4918.54</w:t>
      </w:r>
      <w:r>
        <w:rPr>
          <w:rFonts w:hint="eastAsia" w:ascii="Times New Roman" w:hAnsi="Times New Roman" w:eastAsia="仿宋_GB2312" w:cs="仿宋_GB2312"/>
          <w:sz w:val="32"/>
          <w:szCs w:val="32"/>
          <w:lang w:eastAsia="zh-CN"/>
        </w:rPr>
        <w:t>万元，占</w:t>
      </w:r>
      <w:r>
        <w:rPr>
          <w:rFonts w:hint="eastAsia" w:ascii="Times New Roman" w:hAnsi="Times New Roman" w:eastAsia="仿宋_GB2312" w:cs="仿宋_GB2312"/>
          <w:sz w:val="32"/>
          <w:szCs w:val="32"/>
          <w:lang w:val="en-US" w:eastAsia="zh-CN"/>
        </w:rPr>
        <w:t>97.68</w:t>
      </w:r>
      <w:r>
        <w:rPr>
          <w:rFonts w:hint="eastAsia" w:ascii="Times New Roman" w:hAnsi="Times New Roman" w:eastAsia="仿宋_GB2312" w:cs="仿宋_GB2312"/>
          <w:sz w:val="32"/>
          <w:szCs w:val="32"/>
          <w:lang w:eastAsia="zh-CN"/>
        </w:rPr>
        <w:t>%；社会保障和就业（类）支出</w:t>
      </w:r>
      <w:r>
        <w:rPr>
          <w:rFonts w:hint="eastAsia" w:ascii="Times New Roman" w:hAnsi="Times New Roman" w:eastAsia="仿宋_GB2312" w:cs="仿宋_GB2312"/>
          <w:sz w:val="32"/>
          <w:szCs w:val="32"/>
          <w:lang w:val="en-US" w:eastAsia="zh-CN"/>
        </w:rPr>
        <w:t>67.61</w:t>
      </w:r>
      <w:r>
        <w:rPr>
          <w:rFonts w:hint="eastAsia" w:ascii="Times New Roman" w:hAnsi="Times New Roman" w:eastAsia="仿宋_GB2312" w:cs="仿宋_GB2312"/>
          <w:sz w:val="32"/>
          <w:szCs w:val="32"/>
          <w:lang w:eastAsia="zh-CN"/>
        </w:rPr>
        <w:t>万元，占</w:t>
      </w:r>
      <w:r>
        <w:rPr>
          <w:rFonts w:hint="eastAsia" w:ascii="Times New Roman" w:hAnsi="Times New Roman" w:eastAsia="仿宋_GB2312" w:cs="仿宋_GB2312"/>
          <w:sz w:val="32"/>
          <w:szCs w:val="32"/>
          <w:lang w:val="en-US" w:eastAsia="zh-CN"/>
        </w:rPr>
        <w:t>1.34</w:t>
      </w:r>
      <w:r>
        <w:rPr>
          <w:rFonts w:hint="eastAsia" w:ascii="Times New Roman" w:hAnsi="Times New Roman" w:eastAsia="仿宋_GB2312" w:cs="仿宋_GB2312"/>
          <w:sz w:val="32"/>
          <w:szCs w:val="32"/>
          <w:lang w:eastAsia="zh-CN"/>
        </w:rPr>
        <w:t>%；卫生健康（类）支出</w:t>
      </w:r>
      <w:r>
        <w:rPr>
          <w:rFonts w:hint="eastAsia" w:ascii="Times New Roman" w:hAnsi="Times New Roman" w:eastAsia="仿宋_GB2312" w:cs="仿宋_GB2312"/>
          <w:sz w:val="32"/>
          <w:szCs w:val="32"/>
          <w:lang w:val="en-US" w:eastAsia="zh-CN"/>
        </w:rPr>
        <w:t>14.59</w:t>
      </w:r>
      <w:r>
        <w:rPr>
          <w:rFonts w:hint="eastAsia" w:ascii="Times New Roman" w:hAnsi="Times New Roman" w:eastAsia="仿宋_GB2312" w:cs="仿宋_GB2312"/>
          <w:sz w:val="32"/>
          <w:szCs w:val="32"/>
          <w:lang w:eastAsia="zh-CN"/>
        </w:rPr>
        <w:t>万元，占</w:t>
      </w:r>
      <w:r>
        <w:rPr>
          <w:rFonts w:hint="eastAsia" w:ascii="Times New Roman" w:hAnsi="Times New Roman" w:eastAsia="仿宋_GB2312" w:cs="仿宋_GB2312"/>
          <w:sz w:val="32"/>
          <w:szCs w:val="32"/>
          <w:lang w:val="en-US" w:eastAsia="zh-CN"/>
        </w:rPr>
        <w:t>0.29</w:t>
      </w:r>
      <w:r>
        <w:rPr>
          <w:rFonts w:hint="eastAsia" w:ascii="Times New Roman" w:hAnsi="Times New Roman" w:eastAsia="仿宋_GB2312" w:cs="仿宋_GB2312"/>
          <w:sz w:val="32"/>
          <w:szCs w:val="32"/>
          <w:lang w:eastAsia="zh-CN"/>
        </w:rPr>
        <w:t>%；住房保障（类）支出</w:t>
      </w:r>
      <w:r>
        <w:rPr>
          <w:rFonts w:hint="eastAsia" w:ascii="Times New Roman" w:hAnsi="Times New Roman" w:eastAsia="仿宋_GB2312" w:cs="仿宋_GB2312"/>
          <w:sz w:val="32"/>
          <w:szCs w:val="32"/>
          <w:lang w:val="en-US" w:eastAsia="zh-CN"/>
        </w:rPr>
        <w:t>34.55</w:t>
      </w:r>
      <w:r>
        <w:rPr>
          <w:rFonts w:hint="eastAsia" w:ascii="Times New Roman" w:hAnsi="Times New Roman" w:eastAsia="仿宋_GB2312" w:cs="仿宋_GB2312"/>
          <w:sz w:val="32"/>
          <w:szCs w:val="32"/>
          <w:lang w:eastAsia="zh-CN"/>
        </w:rPr>
        <w:t>万元，占</w:t>
      </w:r>
      <w:r>
        <w:rPr>
          <w:rFonts w:hint="eastAsia" w:ascii="Times New Roman" w:hAnsi="Times New Roman" w:eastAsia="仿宋_GB2312" w:cs="仿宋_GB2312"/>
          <w:sz w:val="32"/>
          <w:szCs w:val="32"/>
          <w:lang w:val="en-US" w:eastAsia="zh-CN"/>
        </w:rPr>
        <w:t>0.69</w:t>
      </w:r>
      <w:r>
        <w:rPr>
          <w:rFonts w:hint="eastAsia" w:ascii="Times New Roman" w:hAnsi="Times New Roman" w:eastAsia="仿宋_GB2312" w:cs="仿宋_GB2312"/>
          <w:sz w:val="32"/>
          <w:szCs w:val="32"/>
          <w:lang w:eastAsia="zh-CN"/>
        </w:rPr>
        <w:t>%。</w:t>
      </w:r>
    </w:p>
    <w:p>
      <w:pPr>
        <w:ind w:firstLine="640"/>
        <w:jc w:val="left"/>
        <w:rPr>
          <w:rFonts w:ascii="Times New Roman" w:hAnsi="Times New Roman" w:eastAsia="楷体"/>
          <w:sz w:val="32"/>
          <w:szCs w:val="32"/>
        </w:rPr>
      </w:pPr>
      <w:r>
        <w:rPr>
          <w:rFonts w:hint="eastAsia" w:ascii="Times New Roman" w:hAnsi="Times New Roman" w:eastAsia="楷体"/>
          <w:sz w:val="32"/>
          <w:szCs w:val="32"/>
        </w:rPr>
        <w:t>（三）一般公共预算当年拨款具体使用情况</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1.一般公共服务（类）政府办公厅（室）及相关机构事务（款）行政运行（项）2024年预算数为567.85万元。</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2. 一般公共服务（类）政府办公厅（室）及相关机构事务（款）其他政府办公厅（室）及相关机构事务支出（项）2024年预算数为4331.89万元。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3.一般公共服务（类）其他一般公共服务支出（款）其他一般公共服务支出（项）2024年预算数为18.8万元。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4.社会保障和就业支出（类）行政事业单位养老支出（款）机关事业单位基本养老保险缴费支出（项）2024年预算数为27.46万元。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5.社会保障和就业支出（类）行政事业单位养老支出（款）机关事业单位职业年金缴费支出（项）2024年预算数为40.14万元。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6.卫生健康支出（类）行政事业单位医疗（款）行政单位医疗（项）2024年预算数为14.59万元。</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Times New Roman"/>
          <w:color w:val="auto"/>
          <w:sz w:val="32"/>
          <w:u w:val="none"/>
          <w:shd w:val="clear" w:color="auto" w:fill="FFFFFF"/>
          <w:lang w:val="en-US" w:eastAsia="zh-CN"/>
        </w:rPr>
        <w:t>7.住房保障支出（类）住房改革支出（款）住房公积金（项）2024年预算数为33.26万元。</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Times New Roman"/>
          <w:color w:val="auto"/>
          <w:sz w:val="32"/>
          <w:u w:val="none"/>
          <w:shd w:val="clear" w:color="auto" w:fill="FFFFFF"/>
          <w:lang w:val="en-US" w:eastAsia="zh-CN"/>
        </w:rPr>
        <w:t>8.住房保障支出（类）住房改革支出（款）购房补贴（项）2024年预算数为1.29万元。</w:t>
      </w:r>
    </w:p>
    <w:p>
      <w:pPr>
        <w:ind w:firstLine="640"/>
        <w:rPr>
          <w:rFonts w:ascii="Times New Roman" w:hAnsi="Times New Roman" w:eastAsia="黑体"/>
          <w:sz w:val="32"/>
          <w:szCs w:val="32"/>
        </w:rPr>
      </w:pPr>
      <w:r>
        <w:rPr>
          <w:rFonts w:hint="eastAsia" w:ascii="Times New Roman" w:hAnsi="Times New Roman" w:eastAsia="黑体"/>
          <w:sz w:val="32"/>
          <w:szCs w:val="32"/>
        </w:rPr>
        <w:t>三、关于</w:t>
      </w:r>
      <w:r>
        <w:rPr>
          <w:rFonts w:hint="eastAsia" w:ascii="Times New Roman" w:hAnsi="Times New Roman" w:eastAsia="黑体"/>
          <w:sz w:val="32"/>
          <w:szCs w:val="32"/>
          <w:lang w:eastAsia="zh-CN"/>
        </w:rPr>
        <w:t>海南省营商环境建设厅2024</w:t>
      </w:r>
      <w:r>
        <w:rPr>
          <w:rFonts w:hint="eastAsia" w:ascii="Times New Roman" w:hAnsi="Times New Roman" w:eastAsia="黑体"/>
          <w:sz w:val="32"/>
          <w:szCs w:val="32"/>
        </w:rPr>
        <w:t>年一般公共预算基本支出情况说明</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海南省营商环境建设厅2024年一般公共预算基本支出为</w:t>
      </w:r>
      <w:r>
        <w:rPr>
          <w:rFonts w:hint="eastAsia" w:ascii="Times New Roman" w:hAnsi="Times New Roman" w:eastAsia="仿宋_GB2312" w:cs="仿宋_GB2312"/>
          <w:sz w:val="32"/>
          <w:szCs w:val="32"/>
          <w:lang w:val="en-US" w:eastAsia="zh-CN"/>
        </w:rPr>
        <w:t>724.6</w:t>
      </w:r>
      <w:r>
        <w:rPr>
          <w:rFonts w:hint="eastAsia" w:ascii="Times New Roman" w:hAnsi="Times New Roman" w:eastAsia="仿宋_GB2312" w:cs="仿宋_GB2312"/>
          <w:sz w:val="32"/>
          <w:szCs w:val="32"/>
          <w:lang w:eastAsia="zh-CN"/>
        </w:rPr>
        <w:t>万元，其中：</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人员经费</w:t>
      </w:r>
      <w:r>
        <w:rPr>
          <w:rFonts w:hint="eastAsia" w:ascii="Times New Roman" w:hAnsi="Times New Roman" w:eastAsia="仿宋_GB2312" w:cs="仿宋_GB2312"/>
          <w:sz w:val="32"/>
          <w:szCs w:val="32"/>
          <w:lang w:val="en-US" w:eastAsia="zh-CN"/>
        </w:rPr>
        <w:t>456.18</w:t>
      </w:r>
      <w:r>
        <w:rPr>
          <w:rFonts w:hint="eastAsia" w:ascii="Times New Roman" w:hAnsi="Times New Roman" w:eastAsia="仿宋_GB2312" w:cs="仿宋_GB2312"/>
          <w:sz w:val="32"/>
          <w:szCs w:val="32"/>
          <w:lang w:eastAsia="zh-CN"/>
        </w:rPr>
        <w:t>万元，主要包括：</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基本工资、津贴补贴、奖金、机关事业单位基本养老保险缴费、职业年金缴费、职工基本医疗保险缴费、其他社会保障缴费、住房公积金、医疗费、其他工资福利支出、其他对个人和家庭的补助。</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公用经费</w:t>
      </w:r>
      <w:r>
        <w:rPr>
          <w:rFonts w:hint="eastAsia" w:ascii="Times New Roman" w:hAnsi="Times New Roman" w:eastAsia="仿宋_GB2312" w:cs="仿宋_GB2312"/>
          <w:sz w:val="32"/>
          <w:szCs w:val="32"/>
          <w:lang w:val="en-US" w:eastAsia="zh-CN"/>
        </w:rPr>
        <w:t>268.42</w:t>
      </w:r>
      <w:r>
        <w:rPr>
          <w:rFonts w:hint="eastAsia" w:ascii="Times New Roman" w:hAnsi="Times New Roman" w:eastAsia="仿宋_GB2312" w:cs="仿宋_GB2312"/>
          <w:sz w:val="32"/>
          <w:szCs w:val="32"/>
          <w:lang w:eastAsia="zh-CN"/>
        </w:rPr>
        <w:t>万元，主要包括：</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办公费、邮电费、租赁费、培训费、公务接待费、劳务费、工会经费、公务用车运行维护费、其他商品和服务支出。</w:t>
      </w:r>
    </w:p>
    <w:p>
      <w:pPr>
        <w:ind w:firstLine="640" w:firstLineChars="200"/>
        <w:rPr>
          <w:rFonts w:ascii="Times New Roman" w:hAnsi="Times New Roman" w:eastAsia="黑体" w:cs="Times New Roman"/>
          <w:sz w:val="32"/>
          <w:shd w:val="clear" w:color="auto" w:fill="FFFFFF"/>
        </w:rPr>
      </w:pPr>
      <w:r>
        <w:rPr>
          <w:rFonts w:hint="eastAsia" w:ascii="Times New Roman" w:hAnsi="Times New Roman" w:eastAsia="黑体" w:cs="Times New Roman"/>
          <w:sz w:val="32"/>
          <w:shd w:val="clear" w:color="auto" w:fill="FFFFFF"/>
        </w:rPr>
        <w:t>四、</w:t>
      </w:r>
      <w:r>
        <w:rPr>
          <w:rFonts w:hint="eastAsia" w:ascii="Times New Roman" w:hAnsi="Times New Roman" w:eastAsia="黑体" w:cs="Times New Roman"/>
          <w:sz w:val="32"/>
          <w:shd w:val="clear" w:color="auto" w:fill="FFFFFF"/>
          <w:lang w:eastAsia="zh-CN"/>
        </w:rPr>
        <w:t>海南省营商环境建设厅2024</w:t>
      </w:r>
      <w:r>
        <w:rPr>
          <w:rFonts w:ascii="Times New Roman" w:hAnsi="Times New Roman" w:eastAsia="黑体" w:cs="Times New Roman"/>
          <w:sz w:val="32"/>
          <w:shd w:val="clear" w:color="auto" w:fill="FFFFFF"/>
        </w:rPr>
        <w:t>年“三公”经费预算情况</w:t>
      </w:r>
      <w:r>
        <w:rPr>
          <w:rFonts w:hint="eastAsia" w:ascii="Times New Roman" w:hAnsi="Times New Roman" w:eastAsia="黑体" w:cs="Times New Roman"/>
          <w:sz w:val="32"/>
          <w:shd w:val="clear" w:color="auto" w:fill="FFFFFF"/>
        </w:rPr>
        <w:t>说明</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（一）海南省营商环境建设厅2024年一般公共预算“三公”经费预算数为</w:t>
      </w:r>
      <w:r>
        <w:rPr>
          <w:rFonts w:hint="eastAsia" w:ascii="Times New Roman" w:hAnsi="Times New Roman" w:eastAsia="仿宋_GB2312" w:cs="仿宋_GB2312"/>
          <w:sz w:val="32"/>
          <w:szCs w:val="32"/>
          <w:lang w:val="en-US" w:eastAsia="zh-CN"/>
        </w:rPr>
        <w:t>58</w:t>
      </w:r>
      <w:r>
        <w:rPr>
          <w:rFonts w:hint="eastAsia" w:ascii="Times New Roman" w:hAnsi="Times New Roman" w:eastAsia="仿宋_GB2312" w:cs="仿宋_GB2312"/>
          <w:sz w:val="32"/>
          <w:szCs w:val="32"/>
          <w:lang w:eastAsia="zh-CN"/>
        </w:rPr>
        <w:t>万元，其中：</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因公出国（境）费用</w:t>
      </w:r>
      <w:r>
        <w:rPr>
          <w:rFonts w:hint="eastAsia" w:ascii="Times New Roman" w:hAnsi="Times New Roman" w:eastAsia="仿宋_GB2312" w:cs="仿宋_GB2312"/>
          <w:sz w:val="32"/>
          <w:szCs w:val="32"/>
          <w:lang w:val="en-US" w:eastAsia="zh-CN"/>
        </w:rPr>
        <w:t>36</w:t>
      </w:r>
      <w:r>
        <w:rPr>
          <w:rFonts w:hint="eastAsia" w:ascii="Times New Roman" w:hAnsi="Times New Roman" w:eastAsia="仿宋_GB2312" w:cs="仿宋_GB2312"/>
          <w:sz w:val="32"/>
          <w:szCs w:val="32"/>
          <w:lang w:eastAsia="zh-CN"/>
        </w:rPr>
        <w:t>万元，较上年预算增长</w:t>
      </w:r>
      <w:r>
        <w:rPr>
          <w:rFonts w:hint="eastAsia" w:ascii="Times New Roman" w:hAnsi="Times New Roman" w:eastAsia="仿宋_GB2312" w:cs="仿宋_GB2312"/>
          <w:sz w:val="32"/>
          <w:szCs w:val="32"/>
          <w:lang w:val="en-US" w:eastAsia="zh-CN"/>
        </w:rPr>
        <w:t>100</w:t>
      </w:r>
      <w:r>
        <w:rPr>
          <w:rFonts w:hint="eastAsia" w:ascii="Times New Roman" w:hAnsi="Times New Roman" w:eastAsia="仿宋_GB2312" w:cs="仿宋_GB2312"/>
          <w:sz w:val="32"/>
          <w:szCs w:val="32"/>
          <w:lang w:eastAsia="zh-CN"/>
        </w:rPr>
        <w:t>%，增长主要原因包括：</w:t>
      </w:r>
      <w:r>
        <w:rPr>
          <w:rFonts w:hint="eastAsia" w:ascii="Times New Roman" w:hAnsi="Times New Roman" w:eastAsia="仿宋_GB2312" w:cs="仿宋_GB2312"/>
          <w:sz w:val="32"/>
          <w:szCs w:val="32"/>
          <w:lang w:val="en-US" w:eastAsia="zh-CN"/>
        </w:rPr>
        <w:t>2023年度我单位是新成立单位，无</w:t>
      </w:r>
      <w:r>
        <w:rPr>
          <w:rFonts w:hint="eastAsia" w:ascii="Times New Roman" w:hAnsi="Times New Roman" w:eastAsia="仿宋_GB2312" w:cs="仿宋_GB2312"/>
          <w:sz w:val="32"/>
          <w:szCs w:val="32"/>
          <w:lang w:eastAsia="zh-CN"/>
        </w:rPr>
        <w:t>因公出国（境）费用预算，根据</w:t>
      </w:r>
      <w:r>
        <w:rPr>
          <w:rFonts w:hint="eastAsia" w:ascii="Times New Roman" w:hAnsi="Times New Roman" w:eastAsia="仿宋_GB2312" w:cs="仿宋_GB2312"/>
          <w:sz w:val="32"/>
          <w:szCs w:val="32"/>
          <w:lang w:val="en-US" w:eastAsia="zh-CN"/>
        </w:rPr>
        <w:t>2024</w:t>
      </w:r>
      <w:r>
        <w:rPr>
          <w:rFonts w:hint="eastAsia" w:ascii="Times New Roman" w:hAnsi="Times New Roman" w:eastAsia="仿宋_GB2312" w:cs="仿宋_GB2312"/>
          <w:sz w:val="32"/>
          <w:szCs w:val="32"/>
          <w:lang w:eastAsia="zh-CN"/>
        </w:rPr>
        <w:t>年出国计划，拟安排出国（境）团（组）</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lang w:eastAsia="zh-CN"/>
        </w:rPr>
        <w:t>次，出国（境）</w:t>
      </w:r>
      <w:r>
        <w:rPr>
          <w:rFonts w:hint="eastAsia" w:ascii="Times New Roman" w:hAnsi="Times New Roman" w:eastAsia="仿宋_GB2312" w:cs="仿宋_GB2312"/>
          <w:sz w:val="32"/>
          <w:szCs w:val="32"/>
          <w:lang w:val="en-US" w:eastAsia="zh-CN"/>
        </w:rPr>
        <w:t>19</w:t>
      </w:r>
      <w:r>
        <w:rPr>
          <w:rFonts w:hint="eastAsia" w:ascii="Times New Roman" w:hAnsi="Times New Roman" w:eastAsia="仿宋_GB2312" w:cs="仿宋_GB2312"/>
          <w:sz w:val="32"/>
          <w:szCs w:val="32"/>
          <w:lang w:eastAsia="zh-CN"/>
        </w:rPr>
        <w:t>人。出国（境）团组主要包括：</w:t>
      </w:r>
      <w:r>
        <w:rPr>
          <w:rFonts w:hint="eastAsia" w:ascii="Times New Roman" w:hAnsi="Times New Roman" w:eastAsia="仿宋_GB2312" w:cs="Times New Roman"/>
          <w:color w:val="auto"/>
          <w:sz w:val="32"/>
          <w:u w:val="none"/>
          <w:shd w:val="clear" w:color="auto" w:fill="FFFFFF"/>
          <w:lang w:val="en-US" w:eastAsia="zh-CN"/>
        </w:rPr>
        <w:t>1.目的地为新加坡、迪拜、香港，人数为6人，天数各5天，组团主要目的为：加强与国际先进自贸港营商环境工作交流；2.目的地为荷兰、芬兰、爱尔兰（2023年已执行，2024年支付费用），</w:t>
      </w:r>
      <w:r>
        <w:rPr>
          <w:rFonts w:hint="eastAsia" w:ascii="Times New Roman" w:hAnsi="Times New Roman" w:eastAsia="仿宋_GB2312" w:cs="仿宋_GB2312"/>
          <w:sz w:val="32"/>
          <w:szCs w:val="32"/>
          <w:lang w:eastAsia="zh-CN"/>
        </w:rPr>
        <w:t>人数</w:t>
      </w:r>
      <w:r>
        <w:rPr>
          <w:rFonts w:hint="eastAsia" w:ascii="Times New Roman" w:hAnsi="Times New Roman" w:eastAsia="仿宋_GB2312" w:cs="仿宋_GB2312"/>
          <w:sz w:val="32"/>
          <w:szCs w:val="32"/>
          <w:lang w:val="en-US" w:eastAsia="zh-CN"/>
        </w:rPr>
        <w:t>1人，天数为10天，主要目的为：</w:t>
      </w:r>
      <w:r>
        <w:rPr>
          <w:rFonts w:hint="eastAsia" w:ascii="Times New Roman" w:hAnsi="Times New Roman" w:eastAsia="仿宋_GB2312" w:cs="仿宋_GB2312"/>
          <w:sz w:val="32"/>
          <w:szCs w:val="32"/>
          <w:lang w:eastAsia="zh-CN"/>
        </w:rPr>
        <w:t>开展经贸交流活动。公务用车购置及运行费</w:t>
      </w:r>
      <w:r>
        <w:rPr>
          <w:rFonts w:hint="eastAsia" w:ascii="Times New Roman" w:hAnsi="Times New Roman" w:eastAsia="仿宋_GB2312" w:cs="仿宋_GB2312"/>
          <w:sz w:val="32"/>
          <w:szCs w:val="32"/>
          <w:lang w:val="en-US" w:eastAsia="zh-CN"/>
        </w:rPr>
        <w:t>14</w:t>
      </w:r>
      <w:r>
        <w:rPr>
          <w:rFonts w:hint="eastAsia" w:ascii="Times New Roman" w:hAnsi="Times New Roman" w:eastAsia="仿宋_GB2312" w:cs="仿宋_GB2312"/>
          <w:sz w:val="32"/>
          <w:szCs w:val="32"/>
          <w:lang w:eastAsia="zh-CN"/>
        </w:rPr>
        <w:t>万元（其中，公务用车购置费0万元，公务用车运行费</w:t>
      </w:r>
      <w:r>
        <w:rPr>
          <w:rFonts w:hint="eastAsia" w:ascii="Times New Roman" w:hAnsi="Times New Roman" w:eastAsia="仿宋_GB2312" w:cs="仿宋_GB2312"/>
          <w:sz w:val="32"/>
          <w:szCs w:val="32"/>
          <w:lang w:val="en-US" w:eastAsia="zh-CN"/>
        </w:rPr>
        <w:t>14</w:t>
      </w:r>
      <w:r>
        <w:rPr>
          <w:rFonts w:hint="eastAsia" w:ascii="Times New Roman" w:hAnsi="Times New Roman" w:eastAsia="仿宋_GB2312" w:cs="仿宋_GB2312"/>
          <w:sz w:val="32"/>
          <w:szCs w:val="32"/>
          <w:lang w:eastAsia="zh-CN"/>
        </w:rPr>
        <w:t>万元），较上年预算增长</w:t>
      </w:r>
      <w:r>
        <w:rPr>
          <w:rFonts w:hint="eastAsia" w:ascii="Times New Roman" w:hAnsi="Times New Roman" w:eastAsia="仿宋_GB2312" w:cs="仿宋_GB2312"/>
          <w:sz w:val="32"/>
          <w:szCs w:val="32"/>
          <w:lang w:val="en-US" w:eastAsia="zh-CN"/>
        </w:rPr>
        <w:t>40.7</w:t>
      </w:r>
      <w:r>
        <w:rPr>
          <w:rFonts w:hint="eastAsia" w:ascii="Times New Roman" w:hAnsi="Times New Roman" w:eastAsia="仿宋_GB2312" w:cs="仿宋_GB2312"/>
          <w:sz w:val="32"/>
          <w:szCs w:val="32"/>
          <w:lang w:eastAsia="zh-CN"/>
        </w:rPr>
        <w:t>%，增长的主要原因包括：</w:t>
      </w:r>
      <w:r>
        <w:rPr>
          <w:rFonts w:hint="eastAsia" w:ascii="Times New Roman" w:hAnsi="Times New Roman" w:eastAsia="仿宋_GB2312" w:cs="仿宋_GB2312"/>
          <w:sz w:val="32"/>
          <w:szCs w:val="32"/>
          <w:lang w:val="en-US" w:eastAsia="zh-CN"/>
        </w:rPr>
        <w:t>2023年我单位是新成立单位，没有年初预算，年间从原省政务服务中心本级调剂公务用车运行费9.95万元至我厅本级使用，原省政务服务中心本级</w:t>
      </w:r>
      <w:r>
        <w:rPr>
          <w:rFonts w:hint="eastAsia" w:ascii="Times New Roman" w:hAnsi="Times New Roman" w:eastAsia="仿宋_GB2312" w:cs="仿宋_GB2312"/>
          <w:sz w:val="32"/>
          <w:szCs w:val="32"/>
          <w:lang w:eastAsia="zh-CN"/>
        </w:rPr>
        <w:t>公务车保有量</w:t>
      </w:r>
      <w:r>
        <w:rPr>
          <w:rFonts w:hint="eastAsia" w:ascii="Times New Roman" w:hAnsi="Times New Roman" w:eastAsia="仿宋_GB2312" w:cs="仿宋_GB2312"/>
          <w:sz w:val="32"/>
          <w:szCs w:val="32"/>
          <w:lang w:val="en-US" w:eastAsia="zh-CN"/>
        </w:rPr>
        <w:t>比我厅本级少，2023年我厅本级公务用车运行费没有得到足额预算保障，2024年我厅本级公务用车运行费已根据车辆编制数得到足额保障，因此比上年预算增长</w:t>
      </w:r>
      <w:r>
        <w:rPr>
          <w:rFonts w:hint="eastAsia" w:ascii="Times New Roman" w:hAnsi="Times New Roman" w:eastAsia="仿宋_GB2312" w:cs="仿宋_GB2312"/>
          <w:sz w:val="32"/>
          <w:szCs w:val="32"/>
          <w:lang w:eastAsia="zh-CN"/>
        </w:rPr>
        <w:t>。公务车保有量</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lang w:eastAsia="zh-CN"/>
        </w:rPr>
        <w:t>辆，计划购置0辆。公务接待费8万元，较上年预算增长</w:t>
      </w:r>
      <w:r>
        <w:rPr>
          <w:rFonts w:hint="eastAsia" w:ascii="Times New Roman" w:hAnsi="Times New Roman" w:eastAsia="仿宋_GB2312" w:cs="仿宋_GB2312"/>
          <w:sz w:val="32"/>
          <w:szCs w:val="32"/>
          <w:lang w:val="en-US" w:eastAsia="zh-CN"/>
        </w:rPr>
        <w:t>433.33</w:t>
      </w:r>
      <w:r>
        <w:rPr>
          <w:rFonts w:hint="eastAsia" w:ascii="Times New Roman" w:hAnsi="Times New Roman" w:eastAsia="仿宋_GB2312" w:cs="仿宋_GB2312"/>
          <w:sz w:val="32"/>
          <w:szCs w:val="32"/>
          <w:lang w:eastAsia="zh-CN"/>
        </w:rPr>
        <w:t>%，增长的主要原因包括：</w:t>
      </w:r>
      <w:r>
        <w:rPr>
          <w:rFonts w:hint="eastAsia" w:ascii="Times New Roman" w:hAnsi="Times New Roman" w:eastAsia="仿宋_GB2312" w:cs="仿宋_GB2312"/>
          <w:sz w:val="32"/>
          <w:szCs w:val="32"/>
          <w:lang w:val="en-US" w:eastAsia="zh-CN"/>
        </w:rPr>
        <w:t>2023年我单位是新成立单位，没有年初预算，年间从原省政务服务中心调剂</w:t>
      </w:r>
      <w:r>
        <w:rPr>
          <w:rFonts w:hint="eastAsia" w:ascii="Times New Roman" w:hAnsi="Times New Roman" w:eastAsia="仿宋_GB2312" w:cs="仿宋_GB2312"/>
          <w:sz w:val="32"/>
          <w:szCs w:val="32"/>
          <w:lang w:eastAsia="zh-CN"/>
        </w:rPr>
        <w:t>公务接待费</w:t>
      </w:r>
      <w:r>
        <w:rPr>
          <w:rFonts w:hint="eastAsia" w:ascii="Times New Roman" w:hAnsi="Times New Roman" w:eastAsia="仿宋_GB2312" w:cs="仿宋_GB2312"/>
          <w:sz w:val="32"/>
          <w:szCs w:val="32"/>
          <w:lang w:val="en-US" w:eastAsia="zh-CN"/>
        </w:rPr>
        <w:t>1.5万元至我厅使用</w:t>
      </w:r>
      <w:r>
        <w:rPr>
          <w:rFonts w:hint="eastAsia" w:ascii="Times New Roman" w:hAnsi="Times New Roman" w:eastAsia="仿宋_GB2312" w:cs="仿宋_GB2312"/>
          <w:sz w:val="32"/>
          <w:szCs w:val="32"/>
          <w:lang w:eastAsia="zh-CN"/>
        </w:rPr>
        <w:t>。而</w:t>
      </w:r>
      <w:r>
        <w:rPr>
          <w:rFonts w:hint="eastAsia" w:ascii="Times New Roman" w:hAnsi="Times New Roman" w:eastAsia="仿宋_GB2312" w:cs="仿宋_GB2312"/>
          <w:sz w:val="32"/>
          <w:szCs w:val="32"/>
          <w:lang w:val="en-US" w:eastAsia="zh-CN"/>
        </w:rPr>
        <w:t>我厅作为全国唯一一个营商环境建设厅，</w:t>
      </w:r>
      <w:r>
        <w:rPr>
          <w:rFonts w:hint="eastAsia" w:ascii="Times New Roman" w:hAnsi="Times New Roman" w:eastAsia="仿宋_GB2312" w:cs="仿宋_GB2312"/>
          <w:sz w:val="32"/>
          <w:szCs w:val="32"/>
          <w:lang w:val="en" w:eastAsia="zh-CN"/>
        </w:rPr>
        <w:t>自成立以来全国来调研或党委政府安排我厅接待外省调研等任务较多，</w:t>
      </w:r>
      <w:r>
        <w:rPr>
          <w:rFonts w:hint="eastAsia" w:ascii="Times New Roman" w:hAnsi="Times New Roman" w:eastAsia="仿宋_GB2312" w:cs="仿宋_GB2312"/>
          <w:sz w:val="32"/>
          <w:szCs w:val="32"/>
          <w:lang w:val="en-US" w:eastAsia="zh-CN"/>
        </w:rPr>
        <w:t>2024年</w:t>
      </w:r>
      <w:r>
        <w:rPr>
          <w:rFonts w:hint="eastAsia" w:ascii="Times New Roman" w:hAnsi="Times New Roman" w:eastAsia="仿宋_GB2312" w:cs="仿宋_GB2312"/>
          <w:sz w:val="32"/>
          <w:szCs w:val="32"/>
          <w:lang w:eastAsia="zh-CN"/>
        </w:rPr>
        <w:t>计划接待</w:t>
      </w:r>
      <w:r>
        <w:rPr>
          <w:rFonts w:hint="eastAsia" w:ascii="Times New Roman" w:hAnsi="Times New Roman" w:eastAsia="仿宋_GB2312" w:cs="仿宋_GB2312"/>
          <w:sz w:val="32"/>
          <w:szCs w:val="32"/>
          <w:lang w:val="en-US" w:eastAsia="zh-CN"/>
        </w:rPr>
        <w:t>40</w:t>
      </w:r>
      <w:r>
        <w:rPr>
          <w:rFonts w:hint="eastAsia" w:ascii="Times New Roman" w:hAnsi="Times New Roman" w:eastAsia="仿宋_GB2312" w:cs="仿宋_GB2312"/>
          <w:sz w:val="32"/>
          <w:szCs w:val="32"/>
          <w:lang w:eastAsia="zh-CN"/>
        </w:rPr>
        <w:t>批次</w:t>
      </w:r>
      <w:r>
        <w:rPr>
          <w:rFonts w:hint="eastAsia" w:ascii="Times New Roman" w:hAnsi="Times New Roman" w:eastAsia="仿宋_GB2312" w:cs="仿宋_GB2312"/>
          <w:sz w:val="32"/>
          <w:szCs w:val="32"/>
          <w:lang w:val="en-US" w:eastAsia="zh-CN"/>
        </w:rPr>
        <w:t>400</w:t>
      </w:r>
      <w:r>
        <w:rPr>
          <w:rFonts w:hint="eastAsia" w:ascii="Times New Roman" w:hAnsi="Times New Roman" w:eastAsia="仿宋_GB2312" w:cs="仿宋_GB2312"/>
          <w:sz w:val="32"/>
          <w:szCs w:val="32"/>
          <w:lang w:eastAsia="zh-CN"/>
        </w:rPr>
        <w:t>人，因此</w:t>
      </w:r>
      <w:r>
        <w:rPr>
          <w:rFonts w:hint="eastAsia" w:ascii="Times New Roman" w:hAnsi="Times New Roman" w:eastAsia="仿宋_GB2312" w:cs="仿宋_GB2312"/>
          <w:sz w:val="32"/>
          <w:szCs w:val="32"/>
          <w:lang w:val="en-US" w:eastAsia="zh-CN"/>
        </w:rPr>
        <w:t>2024年</w:t>
      </w:r>
      <w:r>
        <w:rPr>
          <w:rFonts w:hint="eastAsia" w:ascii="Times New Roman" w:hAnsi="Times New Roman" w:eastAsia="仿宋_GB2312" w:cs="仿宋_GB2312"/>
          <w:sz w:val="32"/>
          <w:szCs w:val="32"/>
          <w:lang w:eastAsia="zh-CN"/>
        </w:rPr>
        <w:t>公务接待费有所增加。</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（二）海南省营商环境建设厅2024年无政府性基金预算“三公”经费预算。</w:t>
      </w:r>
    </w:p>
    <w:p>
      <w:pPr>
        <w:ind w:firstLine="640" w:firstLineChars="200"/>
        <w:rPr>
          <w:rFonts w:ascii="Times New Roman" w:hAnsi="Times New Roman" w:eastAsia="黑体" w:cs="Times New Roman"/>
          <w:sz w:val="32"/>
          <w:shd w:val="clear" w:color="auto" w:fill="FFFFFF"/>
        </w:rPr>
      </w:pPr>
      <w:r>
        <w:rPr>
          <w:rFonts w:hint="eastAsia" w:ascii="Times New Roman" w:hAnsi="Times New Roman" w:eastAsia="黑体" w:cs="Times New Roman"/>
          <w:sz w:val="32"/>
          <w:shd w:val="clear" w:color="auto" w:fill="FFFFFF"/>
        </w:rPr>
        <w:t>五、关于</w:t>
      </w:r>
      <w:r>
        <w:rPr>
          <w:rFonts w:hint="eastAsia" w:ascii="Times New Roman" w:hAnsi="Times New Roman" w:eastAsia="黑体" w:cs="Times New Roman"/>
          <w:sz w:val="32"/>
          <w:shd w:val="clear" w:color="auto" w:fill="FFFFFF"/>
          <w:lang w:eastAsia="zh-CN"/>
        </w:rPr>
        <w:t>海南省营商环境建设厅</w:t>
      </w:r>
      <w:r>
        <w:rPr>
          <w:rFonts w:hint="eastAsia" w:ascii="Times New Roman" w:hAnsi="Times New Roman" w:eastAsia="仿宋_GB2312" w:cs="Times New Roman"/>
          <w:color w:val="000000"/>
          <w:sz w:val="32"/>
          <w:szCs w:val="32"/>
          <w:lang w:eastAsia="zh-CN"/>
        </w:rPr>
        <w:t>2024</w:t>
      </w:r>
      <w:r>
        <w:rPr>
          <w:rFonts w:ascii="Times New Roman" w:hAnsi="Times New Roman" w:eastAsia="黑体" w:cs="Times New Roman"/>
          <w:sz w:val="32"/>
          <w:shd w:val="clear" w:color="auto" w:fill="FFFFFF"/>
        </w:rPr>
        <w:t>年</w:t>
      </w:r>
      <w:r>
        <w:rPr>
          <w:rFonts w:hint="eastAsia" w:ascii="Times New Roman" w:hAnsi="Times New Roman" w:eastAsia="黑体" w:cs="Times New Roman"/>
          <w:sz w:val="32"/>
          <w:shd w:val="clear" w:color="auto" w:fill="FFFFFF"/>
        </w:rPr>
        <w:t>政府性基金预算当年拨款情况说明</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海南省营商环境建设厅2024年无政府性基金预算。</w:t>
      </w:r>
    </w:p>
    <w:p>
      <w:pPr>
        <w:ind w:firstLine="640" w:firstLineChars="200"/>
        <w:rPr>
          <w:rFonts w:ascii="Times New Roman" w:hAnsi="Times New Roman" w:eastAsia="黑体" w:cs="Times New Roman"/>
          <w:sz w:val="32"/>
          <w:shd w:val="clear" w:color="auto" w:fill="FFFFFF"/>
        </w:rPr>
      </w:pPr>
      <w:r>
        <w:rPr>
          <w:rFonts w:hint="eastAsia" w:ascii="Times New Roman" w:hAnsi="Times New Roman" w:eastAsia="黑体" w:cs="Times New Roman"/>
          <w:sz w:val="32"/>
          <w:shd w:val="clear" w:color="auto" w:fill="FFFFFF"/>
        </w:rPr>
        <w:t>六、关于</w:t>
      </w:r>
      <w:r>
        <w:rPr>
          <w:rFonts w:hint="eastAsia" w:ascii="Times New Roman" w:hAnsi="Times New Roman" w:eastAsia="黑体" w:cs="Times New Roman"/>
          <w:sz w:val="32"/>
          <w:shd w:val="clear" w:color="auto" w:fill="FFFFFF"/>
          <w:lang w:eastAsia="zh-CN"/>
        </w:rPr>
        <w:t>海南省营商环境建设厅</w:t>
      </w:r>
      <w:r>
        <w:rPr>
          <w:rFonts w:hint="eastAsia" w:ascii="Times New Roman" w:hAnsi="Times New Roman" w:eastAsia="仿宋_GB2312" w:cs="Times New Roman"/>
          <w:color w:val="000000"/>
          <w:sz w:val="32"/>
          <w:szCs w:val="32"/>
          <w:lang w:eastAsia="zh-CN"/>
        </w:rPr>
        <w:t>2024</w:t>
      </w:r>
      <w:r>
        <w:rPr>
          <w:rFonts w:ascii="Times New Roman" w:hAnsi="Times New Roman" w:eastAsia="黑体" w:cs="Times New Roman"/>
          <w:sz w:val="32"/>
          <w:shd w:val="clear" w:color="auto" w:fill="FFFFFF"/>
        </w:rPr>
        <w:t>年</w:t>
      </w:r>
      <w:r>
        <w:rPr>
          <w:rFonts w:hint="eastAsia" w:ascii="Times New Roman" w:hAnsi="Times New Roman" w:eastAsia="黑体" w:cs="Times New Roman"/>
          <w:sz w:val="32"/>
          <w:shd w:val="clear" w:color="auto" w:fill="FFFFFF"/>
        </w:rPr>
        <w:t>收支预算情况的总体说明</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按照综合预算原则，海南省营商环境建设厅2024年所有收入和支出均纳入部门预算管理。收入包括：一般公共预算拨款收入；支出包括：一般公共服务支出、社会保障和就业支出、卫生健康支出、住房保障支出。海南省营商环境建设厅（单位）2024年收支总预算</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cs="仿宋_GB2312"/>
          <w:sz w:val="32"/>
          <w:szCs w:val="32"/>
          <w:lang w:eastAsia="zh-CN"/>
        </w:rPr>
        <w:t>万元。</w:t>
      </w:r>
    </w:p>
    <w:p>
      <w:pPr>
        <w:ind w:firstLine="640" w:firstLineChars="200"/>
        <w:rPr>
          <w:rFonts w:ascii="Times New Roman" w:hAnsi="Times New Roman" w:eastAsia="黑体" w:cs="Times New Roman"/>
          <w:sz w:val="32"/>
          <w:shd w:val="clear" w:color="auto" w:fill="FFFFFF"/>
        </w:rPr>
      </w:pPr>
      <w:r>
        <w:rPr>
          <w:rFonts w:hint="eastAsia" w:ascii="Times New Roman" w:hAnsi="Times New Roman" w:eastAsia="黑体" w:cs="Times New Roman"/>
          <w:sz w:val="32"/>
          <w:shd w:val="clear" w:color="auto" w:fill="FFFFFF"/>
        </w:rPr>
        <w:t>七、关于</w:t>
      </w:r>
      <w:r>
        <w:rPr>
          <w:rFonts w:hint="eastAsia" w:ascii="Times New Roman" w:hAnsi="Times New Roman" w:eastAsia="黑体" w:cs="Times New Roman"/>
          <w:sz w:val="32"/>
          <w:shd w:val="clear" w:color="auto" w:fill="FFFFFF"/>
          <w:lang w:eastAsia="zh-CN"/>
        </w:rPr>
        <w:t>海南省营商环境建设厅2024</w:t>
      </w:r>
      <w:r>
        <w:rPr>
          <w:rFonts w:ascii="Times New Roman" w:hAnsi="Times New Roman" w:eastAsia="黑体" w:cs="Times New Roman"/>
          <w:sz w:val="32"/>
          <w:shd w:val="clear" w:color="auto" w:fill="FFFFFF"/>
        </w:rPr>
        <w:t>年</w:t>
      </w:r>
      <w:r>
        <w:rPr>
          <w:rFonts w:hint="eastAsia" w:ascii="Times New Roman" w:hAnsi="Times New Roman" w:eastAsia="黑体" w:cs="Times New Roman"/>
          <w:sz w:val="32"/>
          <w:shd w:val="clear" w:color="auto" w:fill="FFFFFF"/>
        </w:rPr>
        <w:t>收入预算情况说明</w:t>
      </w:r>
    </w:p>
    <w:p>
      <w:pPr>
        <w:ind w:firstLine="63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海南省营商环境建设厅2024年收入预算</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cs="仿宋_GB2312"/>
          <w:sz w:val="32"/>
          <w:szCs w:val="32"/>
          <w:lang w:eastAsia="zh-CN"/>
        </w:rPr>
        <w:t>万元，其中：上年结转0万元；经费拨款收入</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cs="仿宋_GB2312"/>
          <w:sz w:val="32"/>
          <w:szCs w:val="32"/>
          <w:lang w:eastAsia="zh-CN"/>
        </w:rPr>
        <w:t>万元，占100%；比上年预算数增加862.13万元，</w:t>
      </w:r>
      <w:r>
        <w:rPr>
          <w:rFonts w:hint="eastAsia" w:ascii="Times New Roman" w:hAnsi="Times New Roman" w:eastAsia="仿宋_GB2312" w:cs="Times New Roman"/>
          <w:color w:val="auto"/>
          <w:sz w:val="32"/>
          <w:u w:val="none"/>
          <w:shd w:val="clear" w:color="auto" w:fill="FFFFFF"/>
          <w:lang w:val="en-US" w:eastAsia="zh-CN"/>
        </w:rPr>
        <w:t>主要是2024年度海南省政务中心二期大楼场地信息化建设项目尾款预算以及综合运行事务项目预算有所增加。</w:t>
      </w:r>
    </w:p>
    <w:p>
      <w:pPr>
        <w:ind w:firstLine="640" w:firstLineChars="200"/>
        <w:rPr>
          <w:rFonts w:ascii="Times New Roman" w:hAnsi="Times New Roman" w:eastAsia="黑体" w:cs="Times New Roman"/>
          <w:sz w:val="32"/>
          <w:shd w:val="clear" w:color="auto" w:fill="FFFFFF"/>
        </w:rPr>
      </w:pPr>
      <w:r>
        <w:rPr>
          <w:rFonts w:hint="eastAsia" w:ascii="Times New Roman" w:hAnsi="Times New Roman" w:eastAsia="黑体" w:cs="Times New Roman"/>
          <w:sz w:val="32"/>
          <w:shd w:val="clear" w:color="auto" w:fill="FFFFFF"/>
        </w:rPr>
        <w:t>八、关于</w:t>
      </w:r>
      <w:r>
        <w:rPr>
          <w:rFonts w:hint="eastAsia" w:ascii="Times New Roman" w:hAnsi="Times New Roman" w:eastAsia="黑体" w:cs="Times New Roman"/>
          <w:sz w:val="32"/>
          <w:shd w:val="clear" w:color="auto" w:fill="FFFFFF"/>
          <w:lang w:eastAsia="zh-CN"/>
        </w:rPr>
        <w:t>海南省营商环境建设厅2024</w:t>
      </w:r>
      <w:r>
        <w:rPr>
          <w:rFonts w:ascii="Times New Roman" w:hAnsi="Times New Roman" w:eastAsia="黑体" w:cs="Times New Roman"/>
          <w:sz w:val="32"/>
          <w:shd w:val="clear" w:color="auto" w:fill="FFFFFF"/>
        </w:rPr>
        <w:t>年</w:t>
      </w:r>
      <w:r>
        <w:rPr>
          <w:rFonts w:hint="eastAsia" w:ascii="Times New Roman" w:hAnsi="Times New Roman" w:eastAsia="黑体" w:cs="Times New Roman"/>
          <w:sz w:val="32"/>
          <w:shd w:val="clear" w:color="auto" w:fill="FFFFFF"/>
        </w:rPr>
        <w:t>支出预算情况说明</w:t>
      </w:r>
    </w:p>
    <w:p>
      <w:pPr>
        <w:ind w:firstLine="630"/>
        <w:rPr>
          <w:rFonts w:hint="eastAsia" w:ascii="Times New Roman" w:hAnsi="Times New Roman" w:eastAsia="仿宋_GB2312" w:cs="Times New Roman"/>
          <w:color w:val="auto"/>
          <w:sz w:val="32"/>
          <w:u w:val="none"/>
          <w:shd w:val="clear" w:color="auto" w:fill="FFFFFF"/>
          <w:lang w:val="en-US" w:eastAsia="zh-CN"/>
        </w:rPr>
      </w:pPr>
      <w:r>
        <w:rPr>
          <w:rFonts w:hint="eastAsia" w:ascii="Times New Roman" w:hAnsi="Times New Roman" w:eastAsia="仿宋_GB2312" w:cs="仿宋_GB2312"/>
          <w:sz w:val="32"/>
          <w:szCs w:val="32"/>
          <w:lang w:eastAsia="zh-CN"/>
        </w:rPr>
        <w:t>海南省营商环境建设厅2024年支出预算</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cs="仿宋_GB2312"/>
          <w:sz w:val="32"/>
          <w:szCs w:val="32"/>
          <w:lang w:eastAsia="zh-CN"/>
        </w:rPr>
        <w:t>万元，其中：基本支出</w:t>
      </w:r>
      <w:r>
        <w:rPr>
          <w:rFonts w:hint="eastAsia" w:ascii="Times New Roman" w:hAnsi="Times New Roman" w:eastAsia="仿宋_GB2312" w:cs="仿宋_GB2312"/>
          <w:sz w:val="32"/>
          <w:szCs w:val="32"/>
          <w:lang w:val="en-US" w:eastAsia="zh-CN"/>
        </w:rPr>
        <w:t>724.6</w:t>
      </w:r>
      <w:r>
        <w:rPr>
          <w:rFonts w:hint="eastAsia" w:ascii="Times New Roman" w:hAnsi="Times New Roman" w:eastAsia="仿宋_GB2312" w:cs="仿宋_GB2312"/>
          <w:sz w:val="32"/>
          <w:szCs w:val="32"/>
          <w:lang w:eastAsia="zh-CN"/>
        </w:rPr>
        <w:t>万元，占</w:t>
      </w:r>
      <w:r>
        <w:rPr>
          <w:rFonts w:hint="eastAsia" w:ascii="Times New Roman" w:hAnsi="Times New Roman" w:eastAsia="仿宋_GB2312" w:cs="仿宋_GB2312"/>
          <w:sz w:val="32"/>
          <w:szCs w:val="32"/>
          <w:lang w:val="en-US" w:eastAsia="zh-CN"/>
        </w:rPr>
        <w:t>14.39</w:t>
      </w:r>
      <w:r>
        <w:rPr>
          <w:rFonts w:hint="eastAsia" w:ascii="Times New Roman" w:hAnsi="Times New Roman" w:eastAsia="仿宋_GB2312" w:cs="仿宋_GB2312"/>
          <w:sz w:val="32"/>
          <w:szCs w:val="32"/>
          <w:lang w:eastAsia="zh-CN"/>
        </w:rPr>
        <w:t>%；项目支出</w:t>
      </w:r>
      <w:r>
        <w:rPr>
          <w:rFonts w:hint="eastAsia" w:ascii="Times New Roman" w:hAnsi="Times New Roman" w:eastAsia="仿宋_GB2312" w:cs="仿宋_GB2312"/>
          <w:sz w:val="32"/>
          <w:szCs w:val="32"/>
          <w:lang w:val="en-US" w:eastAsia="zh-CN"/>
        </w:rPr>
        <w:t>4310.69</w:t>
      </w:r>
      <w:r>
        <w:rPr>
          <w:rFonts w:hint="eastAsia" w:ascii="Times New Roman" w:hAnsi="Times New Roman" w:eastAsia="仿宋_GB2312" w:cs="仿宋_GB2312"/>
          <w:sz w:val="32"/>
          <w:szCs w:val="32"/>
          <w:lang w:eastAsia="zh-CN"/>
        </w:rPr>
        <w:t>万元，占</w:t>
      </w:r>
      <w:r>
        <w:rPr>
          <w:rFonts w:hint="eastAsia" w:ascii="Times New Roman" w:hAnsi="Times New Roman" w:eastAsia="仿宋_GB2312" w:cs="仿宋_GB2312"/>
          <w:sz w:val="32"/>
          <w:szCs w:val="32"/>
          <w:lang w:val="en-US" w:eastAsia="zh-CN"/>
        </w:rPr>
        <w:t>85.61</w:t>
      </w:r>
      <w:r>
        <w:rPr>
          <w:rFonts w:hint="eastAsia" w:ascii="Times New Roman" w:hAnsi="Times New Roman" w:eastAsia="仿宋_GB2312" w:cs="仿宋_GB2312"/>
          <w:sz w:val="32"/>
          <w:szCs w:val="32"/>
          <w:lang w:eastAsia="zh-CN"/>
        </w:rPr>
        <w:t>%。比上年预算数增加</w:t>
      </w:r>
      <w:r>
        <w:rPr>
          <w:rFonts w:hint="eastAsia" w:ascii="Times New Roman" w:hAnsi="Times New Roman" w:eastAsia="仿宋_GB2312" w:cs="仿宋_GB2312"/>
          <w:sz w:val="32"/>
          <w:szCs w:val="32"/>
          <w:lang w:val="en-US" w:eastAsia="zh-CN"/>
        </w:rPr>
        <w:t>862.13</w:t>
      </w:r>
      <w:r>
        <w:rPr>
          <w:rFonts w:hint="eastAsia" w:ascii="Times New Roman" w:hAnsi="Times New Roman" w:eastAsia="仿宋_GB2312" w:cs="仿宋_GB2312"/>
          <w:sz w:val="32"/>
          <w:szCs w:val="32"/>
          <w:lang w:eastAsia="zh-CN"/>
        </w:rPr>
        <w:t>万元，主要是</w:t>
      </w:r>
      <w:r>
        <w:rPr>
          <w:rFonts w:hint="eastAsia" w:ascii="Times New Roman" w:hAnsi="Times New Roman" w:eastAsia="仿宋_GB2312" w:cs="Times New Roman"/>
          <w:color w:val="auto"/>
          <w:sz w:val="32"/>
          <w:u w:val="none"/>
          <w:shd w:val="clear" w:color="auto" w:fill="FFFFFF"/>
          <w:lang w:val="en-US" w:eastAsia="zh-CN"/>
        </w:rPr>
        <w:t>2024年度海南省政务中心二期大楼场地信息化建设项目尾款比2023年度项目支付的阶段款有所增加以及综合运行事务项目预算增加。</w:t>
      </w:r>
    </w:p>
    <w:p>
      <w:pPr>
        <w:ind w:firstLine="640" w:firstLineChars="200"/>
        <w:rPr>
          <w:rFonts w:ascii="Times New Roman" w:hAnsi="Times New Roman" w:eastAsia="黑体" w:cs="Times New Roman"/>
          <w:sz w:val="32"/>
          <w:shd w:val="clear" w:color="auto" w:fill="FFFFFF"/>
        </w:rPr>
      </w:pPr>
      <w:bookmarkStart w:id="0" w:name="_GoBack"/>
      <w:bookmarkEnd w:id="0"/>
      <w:r>
        <w:rPr>
          <w:rFonts w:hint="eastAsia" w:ascii="Times New Roman" w:hAnsi="Times New Roman" w:eastAsia="黑体" w:cs="Times New Roman"/>
          <w:sz w:val="32"/>
          <w:shd w:val="clear" w:color="auto" w:fill="FFFFFF"/>
        </w:rPr>
        <w:t>九、其他重要事项的情况说明</w:t>
      </w:r>
    </w:p>
    <w:p>
      <w:pPr>
        <w:ind w:firstLine="640" w:firstLineChars="200"/>
        <w:rPr>
          <w:rFonts w:ascii="Times New Roman" w:hAnsi="Times New Roman" w:eastAsia="楷体"/>
          <w:sz w:val="32"/>
          <w:szCs w:val="32"/>
        </w:rPr>
      </w:pPr>
      <w:r>
        <w:rPr>
          <w:rFonts w:hint="eastAsia" w:ascii="Times New Roman" w:hAnsi="Times New Roman" w:eastAsia="楷体"/>
          <w:sz w:val="32"/>
          <w:szCs w:val="32"/>
        </w:rPr>
        <w:t>（一）机关运行经费</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2024年海南省营商环境建设厅机关运行经费预算</w:t>
      </w:r>
      <w:r>
        <w:rPr>
          <w:rFonts w:hint="eastAsia" w:ascii="Times New Roman" w:hAnsi="Times New Roman" w:eastAsia="仿宋_GB2312" w:cs="仿宋_GB2312"/>
          <w:sz w:val="32"/>
          <w:szCs w:val="32"/>
          <w:lang w:val="en-US" w:eastAsia="zh-CN"/>
        </w:rPr>
        <w:t>268.42</w:t>
      </w:r>
      <w:r>
        <w:rPr>
          <w:rFonts w:hint="eastAsia" w:ascii="Times New Roman" w:hAnsi="Times New Roman" w:eastAsia="仿宋_GB2312" w:cs="仿宋_GB2312"/>
          <w:sz w:val="32"/>
          <w:szCs w:val="32"/>
          <w:lang w:eastAsia="zh-CN"/>
        </w:rPr>
        <w:t>万元。</w:t>
      </w:r>
    </w:p>
    <w:p>
      <w:pPr>
        <w:ind w:firstLine="640" w:firstLineChars="200"/>
        <w:rPr>
          <w:rFonts w:ascii="Times New Roman" w:hAnsi="Times New Roman" w:eastAsia="楷体"/>
          <w:sz w:val="32"/>
          <w:szCs w:val="32"/>
        </w:rPr>
      </w:pPr>
      <w:r>
        <w:rPr>
          <w:rFonts w:hint="eastAsia" w:ascii="Times New Roman" w:hAnsi="Times New Roman" w:eastAsia="楷体"/>
          <w:sz w:val="32"/>
          <w:szCs w:val="32"/>
        </w:rPr>
        <w:t>（二）政府采购情况</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海南省营商环境建设厅2024政府采购预算总额</w:t>
      </w:r>
      <w:r>
        <w:rPr>
          <w:rFonts w:hint="eastAsia" w:ascii="Times New Roman" w:hAnsi="Times New Roman" w:eastAsia="仿宋_GB2312" w:cs="仿宋_GB2312"/>
          <w:sz w:val="32"/>
          <w:szCs w:val="32"/>
          <w:lang w:val="en-US" w:eastAsia="zh-CN"/>
        </w:rPr>
        <w:t>305.33</w:t>
      </w:r>
      <w:r>
        <w:rPr>
          <w:rFonts w:hint="eastAsia" w:ascii="Times New Roman" w:hAnsi="Times New Roman" w:eastAsia="仿宋_GB2312" w:cs="仿宋_GB2312"/>
          <w:sz w:val="32"/>
          <w:szCs w:val="32"/>
          <w:lang w:eastAsia="zh-CN"/>
        </w:rPr>
        <w:t>万元，其中：政府采购货物预算0万元，政府采购工程预算0万元，政府采购服务预算</w:t>
      </w:r>
      <w:r>
        <w:rPr>
          <w:rFonts w:hint="eastAsia" w:ascii="Times New Roman" w:hAnsi="Times New Roman" w:eastAsia="仿宋_GB2312" w:cs="仿宋_GB2312"/>
          <w:sz w:val="32"/>
          <w:szCs w:val="32"/>
          <w:lang w:val="en-US" w:eastAsia="zh-CN"/>
        </w:rPr>
        <w:t>305.33</w:t>
      </w:r>
      <w:r>
        <w:rPr>
          <w:rFonts w:hint="eastAsia" w:ascii="Times New Roman" w:hAnsi="Times New Roman" w:eastAsia="仿宋_GB2312" w:cs="仿宋_GB2312"/>
          <w:sz w:val="32"/>
          <w:szCs w:val="32"/>
          <w:lang w:eastAsia="zh-CN"/>
        </w:rPr>
        <w:t>万元。</w:t>
      </w:r>
    </w:p>
    <w:p>
      <w:pPr>
        <w:ind w:firstLine="640" w:firstLineChars="200"/>
        <w:rPr>
          <w:rFonts w:ascii="Times New Roman" w:hAnsi="Times New Roman" w:eastAsia="楷体"/>
          <w:sz w:val="32"/>
          <w:szCs w:val="32"/>
        </w:rPr>
      </w:pPr>
      <w:r>
        <w:rPr>
          <w:rFonts w:hint="eastAsia" w:ascii="Times New Roman" w:hAnsi="Times New Roman" w:eastAsia="楷体"/>
          <w:sz w:val="32"/>
          <w:szCs w:val="32"/>
        </w:rPr>
        <w:t>（三）国有资产占有使用情况</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截至20</w:t>
      </w:r>
      <w:r>
        <w:rPr>
          <w:rFonts w:hint="eastAsia" w:ascii="Times New Roman" w:hAnsi="Times New Roman" w:eastAsia="仿宋_GB2312" w:cs="仿宋_GB2312"/>
          <w:sz w:val="32"/>
          <w:szCs w:val="32"/>
          <w:lang w:val="en-US" w:eastAsia="zh-CN"/>
        </w:rPr>
        <w:t>23</w:t>
      </w:r>
      <w:r>
        <w:rPr>
          <w:rFonts w:hint="eastAsia" w:ascii="Times New Roman" w:hAnsi="Times New Roman" w:eastAsia="仿宋_GB2312" w:cs="仿宋_GB2312"/>
          <w:sz w:val="32"/>
          <w:szCs w:val="32"/>
          <w:lang w:eastAsia="zh-CN"/>
        </w:rPr>
        <w:t>年12月31日，海南省营商环境建设厅本级共有车辆</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lang w:eastAsia="zh-CN"/>
        </w:rPr>
        <w:t>辆，其中，实物保障用车编制</w:t>
      </w:r>
      <w:r>
        <w:rPr>
          <w:rFonts w:hint="eastAsia" w:ascii="Times New Roman" w:hAnsi="Times New Roman" w:eastAsia="仿宋_GB2312" w:cs="仿宋_GB2312"/>
          <w:sz w:val="32"/>
          <w:szCs w:val="32"/>
          <w:lang w:val="en-US" w:eastAsia="zh-CN"/>
        </w:rPr>
        <w:t>1辆、</w:t>
      </w:r>
      <w:r>
        <w:rPr>
          <w:rFonts w:hint="eastAsia" w:ascii="Times New Roman" w:hAnsi="Times New Roman" w:eastAsia="仿宋_GB2312" w:cs="仿宋_GB2312"/>
          <w:sz w:val="32"/>
          <w:szCs w:val="32"/>
          <w:lang w:eastAsia="zh-CN"/>
        </w:rPr>
        <w:t>机要通信用车1辆、应急保障用车2辆。</w:t>
      </w:r>
    </w:p>
    <w:p>
      <w:pPr>
        <w:ind w:firstLine="640" w:firstLineChars="200"/>
        <w:rPr>
          <w:rFonts w:ascii="Times New Roman" w:hAnsi="Times New Roman" w:eastAsia="楷体"/>
          <w:sz w:val="32"/>
          <w:szCs w:val="32"/>
        </w:rPr>
      </w:pPr>
      <w:r>
        <w:rPr>
          <w:rFonts w:hint="eastAsia" w:ascii="Times New Roman" w:hAnsi="Times New Roman" w:eastAsia="楷体"/>
          <w:sz w:val="32"/>
          <w:szCs w:val="32"/>
        </w:rPr>
        <w:t>（四）绩效目标设置情况</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2024年海南省营商环境建设厅</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lang w:eastAsia="zh-CN"/>
        </w:rPr>
        <w:t>个项目实行绩效目标管理，涉及一般公共预算</w:t>
      </w:r>
      <w:r>
        <w:rPr>
          <w:rFonts w:hint="eastAsia" w:ascii="Times New Roman" w:hAnsi="Times New Roman" w:eastAsia="仿宋_GB2312" w:cs="仿宋_GB2312"/>
          <w:sz w:val="32"/>
          <w:szCs w:val="32"/>
          <w:lang w:val="en-US" w:eastAsia="zh-CN"/>
        </w:rPr>
        <w:t>5035.28</w:t>
      </w:r>
      <w:r>
        <w:rPr>
          <w:rFonts w:hint="eastAsia" w:ascii="Times New Roman" w:hAnsi="Times New Roman" w:eastAsia="仿宋_GB2312" w:cs="仿宋_GB2312"/>
          <w:sz w:val="32"/>
          <w:szCs w:val="32"/>
          <w:lang w:eastAsia="zh-CN"/>
        </w:rPr>
        <w:t>万元。</w:t>
      </w:r>
    </w:p>
    <w:p>
      <w:pPr>
        <w:ind w:firstLine="640" w:firstLineChars="200"/>
        <w:jc w:val="left"/>
        <w:rPr>
          <w:rFonts w:hint="eastAsia" w:ascii="Times New Roman" w:hAnsi="Times New Roman" w:eastAsia="仿宋_GB2312" w:cs="仿宋_GB2312"/>
          <w:sz w:val="32"/>
          <w:szCs w:val="32"/>
          <w:lang w:eastAsia="zh-CN"/>
        </w:rPr>
      </w:pPr>
      <w:r>
        <w:rPr>
          <w:rFonts w:hint="eastAsia" w:ascii="仿宋_GB2312" w:hAnsi="黑体" w:eastAsia="仿宋_GB2312"/>
          <w:sz w:val="32"/>
          <w:szCs w:val="32"/>
          <w:u w:val="none"/>
          <w:lang w:eastAsia="zh-CN"/>
        </w:rPr>
        <w:t>其中，重点项目预算绩效情况：</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海南省优化营商环境工作项目，预算安排2000万元，主要用于保障与优化营商环境相关的社会信用建设、政务服务、行政许可等行政管理工作。绩效目标是：公众号消息数量≥50条、报告验收合格个数≥2个、省、市县、园区营商环境评价报告数量≥5个、培训人员参训率≥90%、主流媒体报道次数≥20次/年。</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海南省政务中心二期大楼场地信息化建设项目，预算安排1404.32万元，主要用于支付二期大楼场地硬件网络设备购置、项目监理管理等费用。绩效目标是：系统故障修复处理时间≤1小时、硬件采购（维护）数量≥10000个、系统故障率≤3%、系统验收合格率＝100%、建设成本≤2242.41万元、设备正常运转天数≥270天、系统正常使用年限≥6年。</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lang w:eastAsia="zh-CN"/>
        </w:rPr>
        <w:t>.综合运行事务项目，预算安排</w:t>
      </w:r>
      <w:r>
        <w:rPr>
          <w:rFonts w:hint="eastAsia" w:ascii="Times New Roman" w:hAnsi="Times New Roman" w:eastAsia="仿宋_GB2312" w:cs="仿宋_GB2312"/>
          <w:sz w:val="32"/>
          <w:szCs w:val="32"/>
          <w:lang w:val="en-US" w:eastAsia="zh-CN"/>
        </w:rPr>
        <w:t>530</w:t>
      </w:r>
      <w:r>
        <w:rPr>
          <w:rFonts w:hint="eastAsia" w:ascii="Times New Roman" w:hAnsi="Times New Roman" w:eastAsia="仿宋_GB2312" w:cs="仿宋_GB2312"/>
          <w:sz w:val="32"/>
          <w:szCs w:val="32"/>
          <w:lang w:eastAsia="zh-CN"/>
        </w:rPr>
        <w:t>.37万元，主要用于保障厅本级和省政府综合服务热线12345管理中心日常运转。绩效目标是：非财供人员工作餐费≤150人/次、政务大厅安全事故＝0次、审批大厅和厅机关正常运转≥270天。</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lang w:eastAsia="zh-CN"/>
        </w:rPr>
        <w:t>.政务服务与管理项目，预算安排300万元，主要用于一是保障政务大厅正常运转，用于支付政务大厅综合审批窗口30人劳务派遣工资、工会费、体检费、午餐费等费用。绩效目标是：人员配备到位率≥25人、审批件按时办结率≥90%、保障政务审批大厅正常运转≥270天。</w:t>
      </w:r>
    </w:p>
    <w:p>
      <w:pPr>
        <w:ind w:firstLine="640" w:firstLineChars="200"/>
        <w:jc w:val="lef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5.选派来琼挂职干部保障项目，预算安排76万元，主要用于保障来琼挂职干部的住宿、用餐、探亲路费以及发放生活补贴等各项费用。绩效目标是：来琼挂职干部保障率＝100%、工资福利保障足额率≥100%、挂职干部工作正常开展率≥90%。</w:t>
      </w:r>
    </w:p>
    <w:p>
      <w:pPr>
        <w:ind w:firstLine="640" w:firstLineChars="200"/>
        <w:jc w:val="left"/>
        <w:rPr>
          <w:rFonts w:ascii="Times New Roman" w:hAnsi="Times New Roman" w:eastAsia="仿宋_GB2312"/>
          <w:sz w:val="32"/>
          <w:szCs w:val="32"/>
        </w:rPr>
      </w:pPr>
    </w:p>
    <w:p>
      <w:pPr>
        <w:jc w:val="center"/>
        <w:rPr>
          <w:rFonts w:ascii="Times New Roman" w:hAnsi="Times New Roman" w:eastAsia="黑体"/>
          <w:b/>
          <w:sz w:val="32"/>
          <w:szCs w:val="32"/>
        </w:rPr>
      </w:pPr>
      <w:r>
        <w:rPr>
          <w:rFonts w:hint="eastAsia" w:ascii="Times New Roman" w:hAnsi="Times New Roman" w:eastAsia="黑体"/>
          <w:b/>
          <w:sz w:val="32"/>
          <w:szCs w:val="32"/>
        </w:rPr>
        <w:t>第四部分</w:t>
      </w:r>
      <w:r>
        <w:rPr>
          <w:rFonts w:ascii="Times New Roman" w:hAnsi="Times New Roman" w:eastAsia="黑体"/>
          <w:b/>
          <w:sz w:val="32"/>
          <w:szCs w:val="32"/>
        </w:rPr>
        <w:t xml:space="preserve">  </w:t>
      </w:r>
      <w:r>
        <w:rPr>
          <w:rFonts w:hint="eastAsia" w:ascii="Times New Roman" w:hAnsi="Times New Roman" w:eastAsia="黑体"/>
          <w:b/>
          <w:sz w:val="32"/>
          <w:szCs w:val="32"/>
        </w:rPr>
        <w:t>名词解释</w:t>
      </w:r>
    </w:p>
    <w:p>
      <w:pPr>
        <w:ind w:firstLine="640" w:firstLineChars="200"/>
        <w:jc w:val="left"/>
        <w:rPr>
          <w:rFonts w:ascii="Times New Roman" w:hAnsi="Times New Roman" w:eastAsia="仿宋_GB2312" w:cs="宋体"/>
          <w:bCs/>
          <w:color w:val="000000"/>
          <w:kern w:val="0"/>
          <w:sz w:val="32"/>
          <w:szCs w:val="32"/>
          <w:lang w:val="zh-CN"/>
        </w:rPr>
      </w:pP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一、财政拨款收入：指本级财政当年拨付的资金。</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四、事业收入：指用于反映事业单位开展专业业务活动及辅助活动所取得的收入。</w:t>
      </w:r>
      <w:r>
        <w:rPr>
          <w:rFonts w:ascii="Times New Roman" w:hAnsi="Times New Roman" w:eastAsia="仿宋_GB2312" w:cs="宋体"/>
          <w:color w:val="000000"/>
          <w:kern w:val="0"/>
          <w:sz w:val="32"/>
          <w:szCs w:val="30"/>
        </w:rPr>
        <w:t xml:space="preserve"> </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六、其他收入：指除上述“财政拨款收入”“事业收入”“经营收入”等以外的收入。</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七、上年结转：指以前年度尚未完成、结转到本年按有关规定继续使用的资金。</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Times New Roman" w:hAnsi="Times New Roman" w:eastAsia="仿宋_GB2312" w:cs="宋体"/>
          <w:color w:val="000000"/>
          <w:kern w:val="0"/>
          <w:sz w:val="32"/>
          <w:szCs w:val="30"/>
        </w:rPr>
      </w:pPr>
      <w:r>
        <w:rPr>
          <w:rFonts w:hint="eastAsia" w:ascii="Times New Roman" w:hAnsi="Times New Roman"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_GB2312" w:cs="仿宋_GB2312"/>
          <w:sz w:val="32"/>
          <w:szCs w:val="32"/>
        </w:rPr>
      </w:pPr>
    </w:p>
    <w:p>
      <w:pPr>
        <w:ind w:firstLine="640" w:firstLineChars="200"/>
        <w:jc w:val="left"/>
        <w:rPr>
          <w:rFonts w:ascii="Times New Roman" w:hAnsi="Times New Roman"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DB"/>
    <w:rsid w:val="00016C4E"/>
    <w:rsid w:val="00053153"/>
    <w:rsid w:val="00083F77"/>
    <w:rsid w:val="00086B5B"/>
    <w:rsid w:val="000C28F6"/>
    <w:rsid w:val="000F4974"/>
    <w:rsid w:val="00100CC6"/>
    <w:rsid w:val="00114350"/>
    <w:rsid w:val="001214F1"/>
    <w:rsid w:val="0015329D"/>
    <w:rsid w:val="001C3CA7"/>
    <w:rsid w:val="00225D26"/>
    <w:rsid w:val="00227BD8"/>
    <w:rsid w:val="00227BE6"/>
    <w:rsid w:val="002861CD"/>
    <w:rsid w:val="002B04BE"/>
    <w:rsid w:val="00312009"/>
    <w:rsid w:val="00336C10"/>
    <w:rsid w:val="00337F18"/>
    <w:rsid w:val="00373DE5"/>
    <w:rsid w:val="003956DB"/>
    <w:rsid w:val="003A7C58"/>
    <w:rsid w:val="00405CF3"/>
    <w:rsid w:val="0050358B"/>
    <w:rsid w:val="0053231B"/>
    <w:rsid w:val="00611B44"/>
    <w:rsid w:val="006438C8"/>
    <w:rsid w:val="006519FE"/>
    <w:rsid w:val="006916F9"/>
    <w:rsid w:val="006C1762"/>
    <w:rsid w:val="006D6426"/>
    <w:rsid w:val="006F7376"/>
    <w:rsid w:val="007639DB"/>
    <w:rsid w:val="00784F50"/>
    <w:rsid w:val="007B5544"/>
    <w:rsid w:val="0085052C"/>
    <w:rsid w:val="00872F0E"/>
    <w:rsid w:val="00885FF6"/>
    <w:rsid w:val="008B6A24"/>
    <w:rsid w:val="008F3950"/>
    <w:rsid w:val="00941212"/>
    <w:rsid w:val="00A125F5"/>
    <w:rsid w:val="00A64EA5"/>
    <w:rsid w:val="00A75E1D"/>
    <w:rsid w:val="00AF4192"/>
    <w:rsid w:val="00AF580B"/>
    <w:rsid w:val="00B016E7"/>
    <w:rsid w:val="00B0455A"/>
    <w:rsid w:val="00B57CC1"/>
    <w:rsid w:val="00B67A11"/>
    <w:rsid w:val="00C070B0"/>
    <w:rsid w:val="00DE6FC9"/>
    <w:rsid w:val="00EB6357"/>
    <w:rsid w:val="00F14999"/>
    <w:rsid w:val="00F516ED"/>
    <w:rsid w:val="00F65553"/>
    <w:rsid w:val="00F84EED"/>
    <w:rsid w:val="00FD6AE0"/>
    <w:rsid w:val="1F561A60"/>
    <w:rsid w:val="1FF7D3F9"/>
    <w:rsid w:val="33BF1639"/>
    <w:rsid w:val="37B32FCF"/>
    <w:rsid w:val="43DD38E9"/>
    <w:rsid w:val="51BD82D2"/>
    <w:rsid w:val="5D7E40FD"/>
    <w:rsid w:val="5FAE24AD"/>
    <w:rsid w:val="5FFF3E36"/>
    <w:rsid w:val="6FDB1131"/>
    <w:rsid w:val="776FEF8E"/>
    <w:rsid w:val="77EE8CEA"/>
    <w:rsid w:val="7BF736D2"/>
    <w:rsid w:val="7EFDD520"/>
    <w:rsid w:val="7F71EB4E"/>
    <w:rsid w:val="7FBECF28"/>
    <w:rsid w:val="7FDA8B58"/>
    <w:rsid w:val="94DD9EDB"/>
    <w:rsid w:val="9FAFC6F8"/>
    <w:rsid w:val="ABBF3834"/>
    <w:rsid w:val="AFBFA4E5"/>
    <w:rsid w:val="BCB564F4"/>
    <w:rsid w:val="BDBF08EE"/>
    <w:rsid w:val="BF39F0BD"/>
    <w:rsid w:val="BFF59211"/>
    <w:rsid w:val="CEDF2D49"/>
    <w:rsid w:val="D2F96352"/>
    <w:rsid w:val="D97F626E"/>
    <w:rsid w:val="DDFFD93F"/>
    <w:rsid w:val="DFF3C7B4"/>
    <w:rsid w:val="E5FDF42D"/>
    <w:rsid w:val="E7BF1AA0"/>
    <w:rsid w:val="EDFF3917"/>
    <w:rsid w:val="F3FF0F85"/>
    <w:rsid w:val="F7ED6F3F"/>
    <w:rsid w:val="F7F29D31"/>
    <w:rsid w:val="F9F7C5BB"/>
    <w:rsid w:val="FBCFE708"/>
    <w:rsid w:val="FC6FBB23"/>
    <w:rsid w:val="FD778776"/>
    <w:rsid w:val="FDDB6626"/>
    <w:rsid w:val="FF5F5C3D"/>
    <w:rsid w:val="FF7C1A10"/>
    <w:rsid w:val="FFD64872"/>
    <w:rsid w:val="FFD6FFBF"/>
    <w:rsid w:val="FFFB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customStyle="1" w:styleId="11">
    <w:name w:val="批注框文本 Char"/>
    <w:link w:val="2"/>
    <w:semiHidden/>
    <w:qFormat/>
    <w:uiPriority w:val="0"/>
    <w:rPr>
      <w:rFonts w:ascii="Calibri" w:hAnsi="Calibri" w:cs="黑体"/>
      <w:kern w:val="2"/>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627</Words>
  <Characters>3576</Characters>
  <Lines>29</Lines>
  <Paragraphs>8</Paragraphs>
  <TotalTime>0</TotalTime>
  <ScaleCrop>false</ScaleCrop>
  <LinksUpToDate>false</LinksUpToDate>
  <CharactersWithSpaces>4195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2022-02-19T22:12:00Z</dcterms:created>
  <dc:creator>null,null,总收发</dc:creator>
  <cp:lastModifiedBy>greatwall</cp:lastModifiedBy>
  <cp:lastPrinted>2024-02-09T01:44:00Z</cp:lastPrinted>
  <dcterms:modified xsi:type="dcterms:W3CDTF">2024-02-07T11:50:42Z</dcterms:modified>
  <dc:title>××年××部门（单位）预算</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